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D717D" w14:textId="5481DF34" w:rsidR="00485694" w:rsidRPr="00D334E6" w:rsidRDefault="00485694" w:rsidP="00485694">
      <w:pPr>
        <w:rPr>
          <w:bCs/>
          <w:color w:val="000000" w:themeColor="text1"/>
        </w:rPr>
      </w:pPr>
      <w:r w:rsidRPr="00485694">
        <w:rPr>
          <w:rStyle w:val="Heading3Char"/>
          <w:b w:val="0"/>
          <w:bCs/>
          <w:color w:val="000000" w:themeColor="text1"/>
        </w:rPr>
        <w:t>Supplement -</w:t>
      </w:r>
      <w:r w:rsidRPr="00485694">
        <w:rPr>
          <w:rStyle w:val="Heading3Char"/>
          <w:color w:val="000000" w:themeColor="text1"/>
        </w:rPr>
        <w:t xml:space="preserve"> </w:t>
      </w:r>
      <w:r w:rsidR="00D334E6" w:rsidRPr="00D334E6">
        <w:rPr>
          <w:bCs/>
          <w:color w:val="000000" w:themeColor="text1"/>
        </w:rPr>
        <w:t xml:space="preserve">Effects of Three Different Exercise Strategies for Optimizing Aerobic Capacity and Skeletal Muscle Performance in Older Adults: A Pilot Study </w:t>
      </w:r>
    </w:p>
    <w:p w14:paraId="095AB2EF" w14:textId="77777777" w:rsidR="00485694" w:rsidRDefault="00485694" w:rsidP="00485694"/>
    <w:p w14:paraId="7C4194D2" w14:textId="58A9E8F4" w:rsidR="00485694" w:rsidRPr="0057390B" w:rsidRDefault="00485694" w:rsidP="00485694">
      <w:r>
        <w:t xml:space="preserve">Dallin Tavoian, David W. Russ, Timothy D. Law, Janet E. Simon, Paul J. Chase, Emily Hill </w:t>
      </w:r>
      <w:proofErr w:type="spellStart"/>
      <w:r>
        <w:t>Guseman</w:t>
      </w:r>
      <w:proofErr w:type="spellEnd"/>
      <w:r>
        <w:t>, Brian C. Clark</w:t>
      </w:r>
    </w:p>
    <w:p w14:paraId="0C4FEB5A" w14:textId="77777777" w:rsidR="007D54B4" w:rsidRDefault="007D54B4" w:rsidP="00485694">
      <w:pPr>
        <w:rPr>
          <w:color w:val="000000" w:themeColor="text1"/>
        </w:rPr>
      </w:pPr>
    </w:p>
    <w:p w14:paraId="00A66488" w14:textId="77777777" w:rsidR="00C6495E" w:rsidRDefault="00C6495E" w:rsidP="00C6495E">
      <w:pPr>
        <w:rPr>
          <w:b/>
          <w:bCs/>
          <w:color w:val="000000" w:themeColor="text1"/>
        </w:rPr>
      </w:pPr>
      <w:r>
        <w:rPr>
          <w:b/>
          <w:bCs/>
          <w:color w:val="000000" w:themeColor="text1"/>
        </w:rPr>
        <w:t>Outcome Measures</w:t>
      </w:r>
    </w:p>
    <w:p w14:paraId="0A6B5A59" w14:textId="5D8884C8" w:rsidR="00C6495E" w:rsidRPr="00CA39F7" w:rsidRDefault="00C6495E" w:rsidP="00C6495E">
      <w:pPr>
        <w:rPr>
          <w:color w:val="000000" w:themeColor="text1"/>
        </w:rPr>
      </w:pPr>
      <w:r w:rsidRPr="00CA39F7">
        <w:rPr>
          <w:color w:val="000000" w:themeColor="text1"/>
        </w:rPr>
        <w:t xml:space="preserve">See Tavoian et al. </w:t>
      </w:r>
      <w:r w:rsidRPr="00CA39F7">
        <w:rPr>
          <w:color w:val="000000" w:themeColor="text1"/>
        </w:rPr>
        <w:fldChar w:fldCharType="begin"/>
      </w:r>
      <w:r w:rsidRPr="00CA39F7">
        <w:rPr>
          <w:color w:val="000000" w:themeColor="text1"/>
        </w:rPr>
        <w:instrText xml:space="preserve"> ADDIN ZOTERO_ITEM CSL_CITATION {"citationID":"FlDnyAza","properties":{"formattedCitation":"[1]","plainCitation":"[1]","noteIndex":0},"citationItems":[{"id":1462,"uris":["http://zotero.org/users/2288642/items/LJFVXG7L"],"uri":["http://zotero.org/users/2288642/items/LJFVXG7L"],"itemData":{"id":1462,"type":"article-journal","container-title":"Frontiers in Medicine","DOI":"10.3389/fmed.2019.00236","ISSN":"2296-858X","journalAbbreviation":"Front. Med.","language":"en","page":"236","source":"DOI.org (Crossref)","title":"A randomized clinical trial comparing three different exercise strategies for optimizing aerobic capacity and skeletal muscle performance in older adults: Protocol for the DART study","title-short":"A Randomized Clinical Trial Comparing Three Different Exercise Strategies for Optimizing Aerobic Capacity and Skeletal Muscle Performance in Older Adults","volume":"6","author":[{"family":"Tavoian","given":"D."},{"family":"Russ","given":"David W."},{"family":"Law","given":"Timothy D."},{"family":"Simon","given":"Janet E."},{"family":"Chase","given":"Paul J."},{"family":"Guseman","given":"Emily Hill"},{"family":"Clark","given":"Brian C."}],"issued":{"date-parts":[["2019"]]}}}],"schema":"https://github.com/citation-style-language/schema/raw/master/csl-citation.json"} </w:instrText>
      </w:r>
      <w:r w:rsidRPr="00CA39F7">
        <w:rPr>
          <w:color w:val="000000" w:themeColor="text1"/>
        </w:rPr>
        <w:fldChar w:fldCharType="separate"/>
      </w:r>
      <w:r w:rsidRPr="00CA39F7">
        <w:rPr>
          <w:noProof/>
          <w:color w:val="000000" w:themeColor="text1"/>
        </w:rPr>
        <w:t>[1]</w:t>
      </w:r>
      <w:r w:rsidRPr="00CA39F7">
        <w:rPr>
          <w:color w:val="000000" w:themeColor="text1"/>
        </w:rPr>
        <w:fldChar w:fldCharType="end"/>
      </w:r>
      <w:r>
        <w:rPr>
          <w:color w:val="000000" w:themeColor="text1"/>
        </w:rPr>
        <w:t xml:space="preserve"> </w:t>
      </w:r>
      <w:r w:rsidRPr="00CA39F7">
        <w:rPr>
          <w:color w:val="000000" w:themeColor="text1"/>
        </w:rPr>
        <w:t>for further descriptions of protocols.</w:t>
      </w:r>
    </w:p>
    <w:p w14:paraId="5375D0DD" w14:textId="77777777" w:rsidR="00C6495E" w:rsidRDefault="00C6495E" w:rsidP="00C6495E">
      <w:pPr>
        <w:rPr>
          <w:i/>
          <w:iCs/>
          <w:color w:val="000000" w:themeColor="text1"/>
        </w:rPr>
      </w:pPr>
    </w:p>
    <w:p w14:paraId="69DA8D08" w14:textId="15B8533A" w:rsidR="00C6495E" w:rsidRDefault="00C6495E" w:rsidP="00C6495E">
      <w:r w:rsidRPr="00254803">
        <w:rPr>
          <w:i/>
          <w:iCs/>
          <w:color w:val="000000" w:themeColor="text1"/>
        </w:rPr>
        <w:t>Knee extensor isokinetic strength</w:t>
      </w:r>
      <w:r>
        <w:rPr>
          <w:color w:val="000000" w:themeColor="text1"/>
        </w:rPr>
        <w:t xml:space="preserve">: Peak torque was recorded from the non-dominant knee extensors using a </w:t>
      </w:r>
      <w:proofErr w:type="spellStart"/>
      <w:r>
        <w:rPr>
          <w:color w:val="000000" w:themeColor="text1"/>
        </w:rPr>
        <w:t>Biodex</w:t>
      </w:r>
      <w:proofErr w:type="spellEnd"/>
      <w:r>
        <w:rPr>
          <w:color w:val="000000" w:themeColor="text1"/>
        </w:rPr>
        <w:t xml:space="preserve"> System 4 </w:t>
      </w:r>
      <w:r w:rsidRPr="001F4C66">
        <w:rPr>
          <w:color w:val="000000" w:themeColor="text1"/>
          <w:highlight w:val="yellow"/>
        </w:rPr>
        <w:t>Dynamom</w:t>
      </w:r>
      <w:r w:rsidR="001F4C66" w:rsidRPr="001F4C66">
        <w:rPr>
          <w:color w:val="000000" w:themeColor="text1"/>
          <w:highlight w:val="yellow"/>
        </w:rPr>
        <w:t>et</w:t>
      </w:r>
      <w:r w:rsidRPr="001F4C66">
        <w:rPr>
          <w:color w:val="000000" w:themeColor="text1"/>
          <w:highlight w:val="yellow"/>
        </w:rPr>
        <w:t>er</w:t>
      </w:r>
      <w:r>
        <w:rPr>
          <w:color w:val="000000" w:themeColor="text1"/>
        </w:rPr>
        <w:t xml:space="preserve"> (</w:t>
      </w:r>
      <w:proofErr w:type="spellStart"/>
      <w:r>
        <w:rPr>
          <w:color w:val="000000" w:themeColor="text1"/>
        </w:rPr>
        <w:t>Biodex</w:t>
      </w:r>
      <w:proofErr w:type="spellEnd"/>
      <w:r>
        <w:rPr>
          <w:color w:val="000000" w:themeColor="text1"/>
        </w:rPr>
        <w:t xml:space="preserve"> Medical Systems, Inc., Shirley, NY) in a seated position with the knee flexion angle range set at 10-100</w:t>
      </w:r>
      <w:r>
        <w:t>°</w:t>
      </w:r>
      <w:r>
        <w:rPr>
          <w:color w:val="000000" w:themeColor="text1"/>
        </w:rPr>
        <w:t xml:space="preserve"> (full extension = 0</w:t>
      </w:r>
      <w:r>
        <w:t>°)</w:t>
      </w:r>
      <w:r>
        <w:rPr>
          <w:color w:val="000000" w:themeColor="text1"/>
        </w:rPr>
        <w:t>. The participant extended the knee with maximal effort against the lever arm at a set speed of 60</w:t>
      </w:r>
      <w:r>
        <w:t xml:space="preserve">°/s. Six trials were completed with 30 s rest between trials, and the average of the three highest peak torque values were used for analysis. </w:t>
      </w:r>
    </w:p>
    <w:p w14:paraId="00614CDE" w14:textId="77777777" w:rsidR="00C6495E" w:rsidRDefault="00C6495E" w:rsidP="00C6495E"/>
    <w:p w14:paraId="2FCE95C6" w14:textId="77777777" w:rsidR="00C6495E" w:rsidRDefault="00C6495E" w:rsidP="00C6495E">
      <w:r w:rsidRPr="00C5114B">
        <w:rPr>
          <w:i/>
          <w:iCs/>
        </w:rPr>
        <w:t>Maximal oxygen uptake (VO</w:t>
      </w:r>
      <w:r w:rsidRPr="00C5114B">
        <w:rPr>
          <w:i/>
          <w:iCs/>
          <w:vertAlign w:val="subscript"/>
        </w:rPr>
        <w:t>2</w:t>
      </w:r>
      <w:r w:rsidRPr="00C5114B">
        <w:rPr>
          <w:i/>
          <w:iCs/>
        </w:rPr>
        <w:t>max)</w:t>
      </w:r>
      <w:r>
        <w:t>: VO</w:t>
      </w:r>
      <w:r w:rsidRPr="0016372E">
        <w:rPr>
          <w:vertAlign w:val="subscript"/>
        </w:rPr>
        <w:t>2</w:t>
      </w:r>
      <w:r>
        <w:t xml:space="preserve">max was obtained with a </w:t>
      </w:r>
      <w:proofErr w:type="spellStart"/>
      <w:r>
        <w:t>ParvoMedics</w:t>
      </w:r>
      <w:proofErr w:type="spellEnd"/>
      <w:r>
        <w:t xml:space="preserve"> </w:t>
      </w:r>
      <w:proofErr w:type="spellStart"/>
      <w:r>
        <w:t>TrueOne</w:t>
      </w:r>
      <w:proofErr w:type="spellEnd"/>
      <w:r>
        <w:t xml:space="preserve"> 2400 metabolic measuring system with a Hans Rudolf 3813 pneumotachometer (Shawnee Mission, KS) to measure ventilation. Participants began cycling on a magnetically braked cycle Lode </w:t>
      </w:r>
      <w:proofErr w:type="spellStart"/>
      <w:r>
        <w:t>Corival</w:t>
      </w:r>
      <w:proofErr w:type="spellEnd"/>
      <w:r>
        <w:t xml:space="preserve"> CPET ergometer (Lode B.V., Groningen, Netherlands) at 60-80 RMPs with a starting power output of 15 watts (W) for 1 </w:t>
      </w:r>
      <w:proofErr w:type="gramStart"/>
      <w:r>
        <w:t>minute, and</w:t>
      </w:r>
      <w:proofErr w:type="gramEnd"/>
      <w:r>
        <w:t xml:space="preserve"> increased by 15 W every minute. VO</w:t>
      </w:r>
      <w:r w:rsidRPr="0016372E">
        <w:rPr>
          <w:vertAlign w:val="subscript"/>
        </w:rPr>
        <w:t>2</w:t>
      </w:r>
      <w:r>
        <w:t xml:space="preserve"> values were collected continuously and averaged every 20 s. Participants continued cycling until exhaustion and then performed a 5-minute cool down. </w:t>
      </w:r>
    </w:p>
    <w:p w14:paraId="23549E75" w14:textId="77777777" w:rsidR="00C6495E" w:rsidRDefault="00C6495E" w:rsidP="00C6495E"/>
    <w:p w14:paraId="004FA1FC" w14:textId="77777777" w:rsidR="00C6495E" w:rsidRDefault="00C6495E" w:rsidP="00C6495E">
      <w:pPr>
        <w:rPr>
          <w:rStyle w:val="Heading3Char"/>
          <w:b w:val="0"/>
          <w:color w:val="000000" w:themeColor="text1"/>
        </w:rPr>
      </w:pPr>
      <w:r w:rsidRPr="00C5114B">
        <w:rPr>
          <w:rStyle w:val="Heading3Char"/>
          <w:b w:val="0"/>
          <w:i/>
          <w:iCs/>
          <w:color w:val="000000" w:themeColor="text1"/>
        </w:rPr>
        <w:lastRenderedPageBreak/>
        <w:t>Quadriceps muscle volume</w:t>
      </w:r>
      <w:r>
        <w:rPr>
          <w:rStyle w:val="Heading3Char"/>
          <w:b w:val="0"/>
          <w:color w:val="000000" w:themeColor="text1"/>
        </w:rPr>
        <w:t>: Muscle volume was obtained via magnetic resonance imaging (MRI) scans acquired with a 0.25-Tesla musculoskeletal MRI system (</w:t>
      </w:r>
      <w:proofErr w:type="spellStart"/>
      <w:r>
        <w:rPr>
          <w:rStyle w:val="Heading3Char"/>
          <w:b w:val="0"/>
          <w:color w:val="000000" w:themeColor="text1"/>
        </w:rPr>
        <w:t>Esaote</w:t>
      </w:r>
      <w:proofErr w:type="spellEnd"/>
      <w:r>
        <w:rPr>
          <w:rStyle w:val="Heading3Char"/>
          <w:b w:val="0"/>
          <w:color w:val="000000" w:themeColor="text1"/>
        </w:rPr>
        <w:t xml:space="preserve"> G-Scan Brio, Genoa, Italy) with the isocenter positioned at mid-thigh between the patella and the inguinal crease. </w:t>
      </w:r>
    </w:p>
    <w:p w14:paraId="0A05EBDC" w14:textId="77777777" w:rsidR="00C6495E" w:rsidRDefault="00C6495E" w:rsidP="00C6495E">
      <w:pPr>
        <w:rPr>
          <w:rStyle w:val="Heading3Char"/>
          <w:b w:val="0"/>
          <w:color w:val="000000" w:themeColor="text1"/>
        </w:rPr>
      </w:pPr>
    </w:p>
    <w:p w14:paraId="203609F4" w14:textId="77777777" w:rsidR="00C6495E" w:rsidRDefault="00C6495E" w:rsidP="00C6495E">
      <w:r w:rsidRPr="00C5114B">
        <w:rPr>
          <w:rStyle w:val="Heading3Char"/>
          <w:b w:val="0"/>
          <w:i/>
          <w:iCs/>
          <w:color w:val="000000" w:themeColor="text1"/>
        </w:rPr>
        <w:t>Knee extensor isometric strength</w:t>
      </w:r>
      <w:r>
        <w:rPr>
          <w:rStyle w:val="Heading3Char"/>
          <w:b w:val="0"/>
          <w:color w:val="000000" w:themeColor="text1"/>
        </w:rPr>
        <w:t xml:space="preserve">: Peak torque was quantified through three maximal voluntary contractions of the non-dominant knee extensor while seated in the </w:t>
      </w:r>
      <w:proofErr w:type="spellStart"/>
      <w:r>
        <w:rPr>
          <w:rStyle w:val="Heading3Char"/>
          <w:b w:val="0"/>
          <w:color w:val="000000" w:themeColor="text1"/>
        </w:rPr>
        <w:t>Biodex</w:t>
      </w:r>
      <w:proofErr w:type="spellEnd"/>
      <w:r>
        <w:rPr>
          <w:rStyle w:val="Heading3Char"/>
          <w:b w:val="0"/>
          <w:color w:val="000000" w:themeColor="text1"/>
        </w:rPr>
        <w:t xml:space="preserve"> with the lever arm immobilized at 90</w:t>
      </w:r>
      <w:r>
        <w:t xml:space="preserve">° of knee flexion. Participants had 30-60 s rest between contractions, and the trial with the highest torque value was used for analysis. </w:t>
      </w:r>
    </w:p>
    <w:p w14:paraId="54288BE1" w14:textId="77777777" w:rsidR="00C6495E" w:rsidRDefault="00C6495E" w:rsidP="00C6495E"/>
    <w:p w14:paraId="328B14D0" w14:textId="77777777" w:rsidR="00C6495E" w:rsidRDefault="00C6495E" w:rsidP="00C6495E">
      <w:r w:rsidRPr="00C5114B">
        <w:rPr>
          <w:i/>
          <w:iCs/>
        </w:rPr>
        <w:t>Knee extensor isokinetic fatigue resistance</w:t>
      </w:r>
      <w:r>
        <w:t xml:space="preserve">: Fatigue resistance of the non-dominant knee extensor was assessed using the same </w:t>
      </w:r>
      <w:proofErr w:type="spellStart"/>
      <w:r>
        <w:t>Biodex</w:t>
      </w:r>
      <w:proofErr w:type="spellEnd"/>
      <w:r>
        <w:t xml:space="preserve"> knee flexion range settings as described for </w:t>
      </w:r>
      <w:r w:rsidRPr="00C5114B">
        <w:rPr>
          <w:i/>
          <w:iCs/>
        </w:rPr>
        <w:t>Knee extensor isokinetic strength</w:t>
      </w:r>
      <w:r>
        <w:t>. Participants performed 120 consecutive knee extensions at 120°/s, and peak force of each of the contractions was summed. Summated torque from the last 40 contractions was expressed relative to summated torque from the first 40 contractions.</w:t>
      </w:r>
    </w:p>
    <w:p w14:paraId="1CAA3818" w14:textId="77777777" w:rsidR="00C6495E" w:rsidRDefault="00C6495E" w:rsidP="00C6495E"/>
    <w:p w14:paraId="4936C3F7" w14:textId="77777777" w:rsidR="00C6495E" w:rsidRDefault="00C6495E" w:rsidP="00C6495E">
      <w:r w:rsidRPr="007D54B4">
        <w:rPr>
          <w:i/>
          <w:iCs/>
        </w:rPr>
        <w:t>Total body fat mass</w:t>
      </w:r>
      <w:r>
        <w:t xml:space="preserve">: Fat mass was quantified via whole-body dual-energy X-ray absorptiometry (DXA) scans (Hologic </w:t>
      </w:r>
      <w:proofErr w:type="spellStart"/>
      <w:r>
        <w:t>Dixcovery</w:t>
      </w:r>
      <w:proofErr w:type="spellEnd"/>
      <w:r>
        <w:t xml:space="preserve"> QDR Model Series, Waltham, MA) using the system’s software package. Participants were scanned at the same time of day pre- and post-intervention.</w:t>
      </w:r>
    </w:p>
    <w:p w14:paraId="5508AD00" w14:textId="77777777" w:rsidR="00C6495E" w:rsidRDefault="00C6495E" w:rsidP="00C6495E">
      <w:pPr>
        <w:rPr>
          <w:rStyle w:val="Heading3Char"/>
          <w:b w:val="0"/>
          <w:color w:val="000000" w:themeColor="text1"/>
        </w:rPr>
      </w:pPr>
    </w:p>
    <w:p w14:paraId="48E1C3C6" w14:textId="77777777" w:rsidR="00C6495E" w:rsidRDefault="00C6495E" w:rsidP="00C6495E">
      <w:pPr>
        <w:rPr>
          <w:rStyle w:val="Heading3Char"/>
          <w:b w:val="0"/>
          <w:color w:val="000000" w:themeColor="text1"/>
        </w:rPr>
      </w:pPr>
      <w:r>
        <w:rPr>
          <w:rStyle w:val="Heading3Char"/>
          <w:b w:val="0"/>
          <w:color w:val="000000" w:themeColor="text1"/>
        </w:rPr>
        <w:t xml:space="preserve">Six-minute walk distance (6MW): a 6MW test was performed in a 30-meter hallway marked with cones with a left-hand turn. Distance covered in 6 minutes was used for analysis. </w:t>
      </w:r>
    </w:p>
    <w:p w14:paraId="1820568D" w14:textId="77777777" w:rsidR="00C6495E" w:rsidRDefault="00C6495E" w:rsidP="00C6495E">
      <w:pPr>
        <w:rPr>
          <w:rStyle w:val="Heading3Char"/>
          <w:b w:val="0"/>
          <w:color w:val="000000" w:themeColor="text1"/>
        </w:rPr>
      </w:pPr>
    </w:p>
    <w:p w14:paraId="2BA52DF9" w14:textId="77777777" w:rsidR="00C6495E" w:rsidRDefault="00C6495E" w:rsidP="00C6495E">
      <w:pPr>
        <w:rPr>
          <w:rStyle w:val="Heading3Char"/>
          <w:b w:val="0"/>
          <w:color w:val="000000" w:themeColor="text1"/>
        </w:rPr>
      </w:pPr>
      <w:r w:rsidRPr="007D54B4">
        <w:rPr>
          <w:rStyle w:val="Heading3Char"/>
          <w:b w:val="0"/>
          <w:i/>
          <w:iCs/>
          <w:color w:val="000000" w:themeColor="text1"/>
        </w:rPr>
        <w:lastRenderedPageBreak/>
        <w:t>Four-square step test (4SST)</w:t>
      </w:r>
      <w:r>
        <w:rPr>
          <w:rStyle w:val="Heading3Char"/>
          <w:b w:val="0"/>
          <w:color w:val="000000" w:themeColor="text1"/>
        </w:rPr>
        <w:t xml:space="preserve">: A four-foot by four-foot square was marked with athletic tape and split into quadrants. Participants stepped into each conjoining quadrant, first clockwise and then </w:t>
      </w:r>
      <w:proofErr w:type="gramStart"/>
      <w:r>
        <w:rPr>
          <w:rStyle w:val="Heading3Char"/>
          <w:b w:val="0"/>
          <w:color w:val="000000" w:themeColor="text1"/>
        </w:rPr>
        <w:t>counter-clockwise</w:t>
      </w:r>
      <w:proofErr w:type="gramEnd"/>
      <w:r>
        <w:rPr>
          <w:rStyle w:val="Heading3Char"/>
          <w:b w:val="0"/>
          <w:color w:val="000000" w:themeColor="text1"/>
        </w:rPr>
        <w:t xml:space="preserve">. The fastest of two trials was used for analysis. </w:t>
      </w:r>
    </w:p>
    <w:p w14:paraId="7AE17F9F" w14:textId="77777777" w:rsidR="00C6495E" w:rsidRDefault="00C6495E" w:rsidP="00C6495E">
      <w:pPr>
        <w:rPr>
          <w:rStyle w:val="Heading3Char"/>
          <w:b w:val="0"/>
          <w:color w:val="000000" w:themeColor="text1"/>
        </w:rPr>
      </w:pPr>
    </w:p>
    <w:p w14:paraId="37E9F29E" w14:textId="77777777" w:rsidR="00C6495E" w:rsidRDefault="00C6495E" w:rsidP="00C6495E">
      <w:r w:rsidRPr="007D54B4">
        <w:rPr>
          <w:rStyle w:val="Heading3Char"/>
          <w:b w:val="0"/>
          <w:i/>
          <w:iCs/>
          <w:color w:val="000000" w:themeColor="text1"/>
        </w:rPr>
        <w:t>Grip strength</w:t>
      </w:r>
      <w:r>
        <w:rPr>
          <w:rStyle w:val="Heading3Char"/>
          <w:b w:val="0"/>
          <w:color w:val="000000" w:themeColor="text1"/>
        </w:rPr>
        <w:t>: Non-dominant grip strength was assessed with a Jamar hydraulic grip strength dynamometer (Performance Health, LLC, Akron, OH). Handle position of the dynamometer was standardized for all participants at position II. Participants squeezed the handle with maximal effort for 3 s while seated with the shoulder in neutral position and the elbow flexed to 90</w:t>
      </w:r>
      <w:r>
        <w:t>°. Three trials were performed with 15 s rest between trials, and peak force was used for analysis.</w:t>
      </w:r>
    </w:p>
    <w:p w14:paraId="250D7AFB" w14:textId="77777777" w:rsidR="00C6495E" w:rsidRDefault="00C6495E" w:rsidP="00C6495E"/>
    <w:p w14:paraId="1133B206" w14:textId="77777777" w:rsidR="00C6495E" w:rsidRDefault="00C6495E" w:rsidP="00C6495E">
      <w:r w:rsidRPr="00BA221B">
        <w:rPr>
          <w:i/>
          <w:iCs/>
        </w:rPr>
        <w:t>Five-time chair rise</w:t>
      </w:r>
      <w:r>
        <w:t xml:space="preserve">: Participants started in a seated position with their arms placed across their chest. Participants then moved to standing position and returned to a seated position five times as quickly as possible. </w:t>
      </w:r>
    </w:p>
    <w:p w14:paraId="0741448F" w14:textId="77777777" w:rsidR="00C6495E" w:rsidRDefault="00C6495E" w:rsidP="00C6495E"/>
    <w:p w14:paraId="6DEFD426" w14:textId="77777777" w:rsidR="00C6495E" w:rsidRPr="00CA39F7" w:rsidRDefault="00C6495E" w:rsidP="00C6495E">
      <w:pPr>
        <w:rPr>
          <w:b/>
          <w:bCs/>
        </w:rPr>
      </w:pPr>
      <w:r w:rsidRPr="00CA39F7">
        <w:rPr>
          <w:b/>
          <w:bCs/>
        </w:rPr>
        <w:t>Exercise Intervention</w:t>
      </w:r>
    </w:p>
    <w:p w14:paraId="24AAAA78" w14:textId="77777777" w:rsidR="00C6495E" w:rsidRDefault="00C6495E" w:rsidP="00C6495E">
      <w:pPr>
        <w:rPr>
          <w:rStyle w:val="Heading3Char"/>
          <w:b w:val="0"/>
          <w:color w:val="000000" w:themeColor="text1"/>
        </w:rPr>
      </w:pPr>
      <w:r w:rsidRPr="00CA39F7">
        <w:rPr>
          <w:rStyle w:val="Heading3Char"/>
          <w:b w:val="0"/>
          <w:i/>
          <w:iCs/>
          <w:color w:val="000000" w:themeColor="text1"/>
        </w:rPr>
        <w:t>High-intensity interval training (HIIT)</w:t>
      </w:r>
      <w:r>
        <w:rPr>
          <w:rStyle w:val="Heading3Char"/>
          <w:b w:val="0"/>
          <w:color w:val="000000" w:themeColor="text1"/>
        </w:rPr>
        <w:t xml:space="preserve">: </w:t>
      </w:r>
      <w:r w:rsidRPr="00433A88">
        <w:rPr>
          <w:color w:val="000000" w:themeColor="text1"/>
        </w:rPr>
        <w:t>Exercise sessions progressed from 15-30 minutes in duration throughout the study. The duration of the high-intensity intervals ranged from 15-60 seconds, and rest periods were matched at a work/rest ratio of 1:1. Exercise intensity progressively increased from 50-60% of heart rate reserve during week 1, to 85-100% of heart rate reserve during week 12.</w:t>
      </w:r>
    </w:p>
    <w:p w14:paraId="425A9064" w14:textId="77777777" w:rsidR="00C6495E" w:rsidRDefault="00C6495E" w:rsidP="00C6495E">
      <w:pPr>
        <w:rPr>
          <w:rStyle w:val="Heading3Char"/>
          <w:b w:val="0"/>
          <w:color w:val="000000" w:themeColor="text1"/>
        </w:rPr>
      </w:pPr>
    </w:p>
    <w:p w14:paraId="27621B28" w14:textId="77777777" w:rsidR="00C6495E" w:rsidRDefault="00C6495E" w:rsidP="00C6495E">
      <w:pPr>
        <w:jc w:val="both"/>
        <w:rPr>
          <w:color w:val="000000" w:themeColor="text1"/>
        </w:rPr>
      </w:pPr>
      <w:r w:rsidRPr="00CA39F7">
        <w:rPr>
          <w:rStyle w:val="Heading3Char"/>
          <w:b w:val="0"/>
          <w:i/>
          <w:iCs/>
          <w:color w:val="000000" w:themeColor="text1"/>
        </w:rPr>
        <w:t>Moderate-intensity continuous training (MICT)</w:t>
      </w:r>
      <w:r>
        <w:rPr>
          <w:rStyle w:val="Heading3Char"/>
          <w:b w:val="0"/>
          <w:color w:val="000000" w:themeColor="text1"/>
        </w:rPr>
        <w:t xml:space="preserve">: </w:t>
      </w:r>
      <w:r w:rsidRPr="00433A88">
        <w:rPr>
          <w:color w:val="000000" w:themeColor="text1"/>
        </w:rPr>
        <w:t>Participants in the MICT group used the same stationary bicycle setup as in the HIIT group</w:t>
      </w:r>
      <w:r>
        <w:rPr>
          <w:color w:val="000000" w:themeColor="text1"/>
        </w:rPr>
        <w:t xml:space="preserve">. </w:t>
      </w:r>
      <w:r w:rsidRPr="00433A88">
        <w:rPr>
          <w:color w:val="000000" w:themeColor="text1"/>
        </w:rPr>
        <w:t xml:space="preserve">Exercise sessions progressed from 20-45 minutes in duration </w:t>
      </w:r>
      <w:r w:rsidRPr="00433A88">
        <w:rPr>
          <w:color w:val="000000" w:themeColor="text1"/>
        </w:rPr>
        <w:lastRenderedPageBreak/>
        <w:t>throughout the study</w:t>
      </w:r>
      <w:r>
        <w:rPr>
          <w:color w:val="000000" w:themeColor="text1"/>
        </w:rPr>
        <w:t>, while</w:t>
      </w:r>
      <w:r w:rsidRPr="00433A88">
        <w:rPr>
          <w:color w:val="000000" w:themeColor="text1"/>
        </w:rPr>
        <w:t xml:space="preserve"> intensity progressively increased from 50-60% of heart rate reserve during week 1, to 70-75% heart rate reserve during week 12.</w:t>
      </w:r>
    </w:p>
    <w:p w14:paraId="79B8844D" w14:textId="77777777" w:rsidR="00C6495E" w:rsidRDefault="00C6495E" w:rsidP="00C6495E">
      <w:pPr>
        <w:jc w:val="both"/>
        <w:rPr>
          <w:color w:val="000000" w:themeColor="text1"/>
        </w:rPr>
      </w:pPr>
    </w:p>
    <w:p w14:paraId="36B875B5" w14:textId="77777777" w:rsidR="00C6495E" w:rsidRDefault="00C6495E" w:rsidP="00C6495E">
      <w:pPr>
        <w:jc w:val="both"/>
        <w:rPr>
          <w:color w:val="000000" w:themeColor="text1"/>
        </w:rPr>
      </w:pPr>
      <w:r w:rsidRPr="00C632A9">
        <w:rPr>
          <w:i/>
          <w:iCs/>
          <w:color w:val="000000" w:themeColor="text1"/>
        </w:rPr>
        <w:t>Resistance training (RT)</w:t>
      </w:r>
      <w:r>
        <w:rPr>
          <w:color w:val="000000" w:themeColor="text1"/>
        </w:rPr>
        <w:t xml:space="preserve">: </w:t>
      </w:r>
      <w:r w:rsidRPr="00433A88">
        <w:rPr>
          <w:color w:val="000000" w:themeColor="text1"/>
        </w:rPr>
        <w:t>Participants performed 10 resistance exercises for the major muscle groups each session</w:t>
      </w:r>
      <w:r>
        <w:rPr>
          <w:color w:val="000000" w:themeColor="text1"/>
        </w:rPr>
        <w:t xml:space="preserve"> using free weights, machines, or body weight</w:t>
      </w:r>
      <w:r w:rsidRPr="00433A88">
        <w:rPr>
          <w:color w:val="000000" w:themeColor="text1"/>
        </w:rPr>
        <w:t>. Exercise intensity/duration progressively increased from 1-2 sets of 15 repetitions using a weight that elicited a rating of perceived exertion of 5-6 (0-10 scale) during week 1, to 3-5 sets of 6-20 repetitions at a rating of perceived exertion of 7-8 during week 12</w:t>
      </w:r>
      <w:r>
        <w:rPr>
          <w:color w:val="000000" w:themeColor="text1"/>
        </w:rPr>
        <w:t>.</w:t>
      </w:r>
    </w:p>
    <w:p w14:paraId="6970FA4F" w14:textId="3BF93DB0" w:rsidR="00CA39F7" w:rsidRPr="00254803" w:rsidRDefault="00CA39F7" w:rsidP="00485694">
      <w:pPr>
        <w:rPr>
          <w:rStyle w:val="Heading3Char"/>
          <w:b w:val="0"/>
          <w:color w:val="000000" w:themeColor="text1"/>
        </w:rPr>
      </w:pPr>
    </w:p>
    <w:p w14:paraId="4A3AF9CB" w14:textId="0E6F68BC" w:rsidR="00485694" w:rsidRDefault="00485694" w:rsidP="00485694">
      <w:pPr>
        <w:rPr>
          <w:bCs/>
          <w:color w:val="000000" w:themeColor="text1"/>
        </w:rPr>
      </w:pPr>
      <w:r w:rsidRPr="00E132B2">
        <w:rPr>
          <w:rStyle w:val="Heading3Char"/>
          <w:color w:val="000000" w:themeColor="text1"/>
        </w:rPr>
        <w:t xml:space="preserve">Adverse </w:t>
      </w:r>
      <w:r>
        <w:rPr>
          <w:rStyle w:val="Heading3Char"/>
          <w:color w:val="000000" w:themeColor="text1"/>
        </w:rPr>
        <w:t>E</w:t>
      </w:r>
      <w:r w:rsidRPr="00E132B2">
        <w:rPr>
          <w:rStyle w:val="Heading3Char"/>
          <w:color w:val="000000" w:themeColor="text1"/>
        </w:rPr>
        <w:t>vents</w:t>
      </w:r>
    </w:p>
    <w:p w14:paraId="4744BAA6" w14:textId="07C90401" w:rsidR="00485694" w:rsidRPr="00E132B2" w:rsidRDefault="00485694" w:rsidP="00485694">
      <w:pPr>
        <w:ind w:firstLine="720"/>
        <w:rPr>
          <w:bCs/>
          <w:color w:val="000000" w:themeColor="text1"/>
        </w:rPr>
      </w:pPr>
      <w:r w:rsidRPr="00E132B2">
        <w:rPr>
          <w:bCs/>
          <w:color w:val="000000" w:themeColor="text1"/>
        </w:rPr>
        <w:t xml:space="preserve">Adverse </w:t>
      </w:r>
      <w:r w:rsidRPr="00117881">
        <w:rPr>
          <w:bCs/>
          <w:color w:val="000000" w:themeColor="text1"/>
        </w:rPr>
        <w:t>events (AEs) were defined as an unexpected medical problem that happened during the course of the study related or unrelated to the intervention or assessments. All AEs occurring after informed consent was signed and until study completion were recorded. A serious adverse event (SAE) was defined as an unexpected medical problem that was believed by the investigators to be causally related to the study intervention or assessments and resulted in any of the following: a life-threatening condition, severe or permanent disability, prolonged hospitalization, or death. During the course of</w:t>
      </w:r>
      <w:r w:rsidRPr="00E132B2">
        <w:rPr>
          <w:bCs/>
          <w:color w:val="000000" w:themeColor="text1"/>
        </w:rPr>
        <w:t xml:space="preserve"> the study nine AEs were reported, two of which occurred during testing procedures and seven occurred during the exercise intervention. No SAEs were reported during the study. The first AE that occurred during testing was due to an equipment malfunction that resulted in prolonged, high-frequency electrical stimulation of the quadriceps muscle of one participant for approximately 4 seconds during the baseline testing Visit 3. The participant reported pain during the stimulation, but no pain 5 minutes after the incident or anytime thereafter and was able to finish all assessments, with the exception of further electrical stimulation. The second AE that occurred during testing was an abnormal heart rhythm that was detected by the exercise physiologist who was monitoring the ECG during the graded exercise test. </w:t>
      </w:r>
      <w:r w:rsidRPr="00E132B2">
        <w:rPr>
          <w:bCs/>
          <w:color w:val="000000" w:themeColor="text1"/>
        </w:rPr>
        <w:lastRenderedPageBreak/>
        <w:t>The test was stopped</w:t>
      </w:r>
      <w:r w:rsidR="00D34810">
        <w:rPr>
          <w:bCs/>
          <w:color w:val="000000" w:themeColor="text1"/>
        </w:rPr>
        <w:t>,</w:t>
      </w:r>
      <w:r w:rsidRPr="00E132B2">
        <w:rPr>
          <w:bCs/>
          <w:color w:val="000000" w:themeColor="text1"/>
        </w:rPr>
        <w:t xml:space="preserve"> and the heart rhythm returned to normal when the heart rate approached resting levels. The participant reported no symptoms during the test or </w:t>
      </w:r>
      <w:proofErr w:type="gramStart"/>
      <w:r w:rsidRPr="00E132B2">
        <w:rPr>
          <w:bCs/>
          <w:color w:val="000000" w:themeColor="text1"/>
        </w:rPr>
        <w:t>afterward, and</w:t>
      </w:r>
      <w:proofErr w:type="gramEnd"/>
      <w:r w:rsidRPr="00E132B2">
        <w:rPr>
          <w:bCs/>
          <w:color w:val="000000" w:themeColor="text1"/>
        </w:rPr>
        <w:t xml:space="preserve"> followed up with their primary care physician following the event.</w:t>
      </w:r>
      <w:r>
        <w:rPr>
          <w:bCs/>
          <w:color w:val="000000" w:themeColor="text1"/>
        </w:rPr>
        <w:t xml:space="preserve"> This participant was removed from the study. </w:t>
      </w:r>
      <w:r w:rsidRPr="00E132B2">
        <w:rPr>
          <w:bCs/>
          <w:color w:val="000000" w:themeColor="text1"/>
        </w:rPr>
        <w:t>Both of the AEs that occurred during testing were reported to the Ohio University IRB. Of the remaining seven AEs, only one was likely related to the intervention</w:t>
      </w:r>
      <w:r>
        <w:rPr>
          <w:bCs/>
          <w:color w:val="000000" w:themeColor="text1"/>
        </w:rPr>
        <w:t xml:space="preserve"> (one participant in the RT group reported mild muscle soreness for ~24 hours after an exercise session)</w:t>
      </w:r>
      <w:r w:rsidRPr="00E132B2">
        <w:rPr>
          <w:bCs/>
          <w:color w:val="000000" w:themeColor="text1"/>
        </w:rPr>
        <w:t xml:space="preserve">, and </w:t>
      </w:r>
      <w:r w:rsidR="00D334E6">
        <w:rPr>
          <w:bCs/>
          <w:color w:val="000000" w:themeColor="text1"/>
        </w:rPr>
        <w:t xml:space="preserve">all were classified as </w:t>
      </w:r>
      <w:r w:rsidR="00D334E6">
        <w:rPr>
          <w:bCs/>
          <w:i/>
          <w:iCs/>
          <w:color w:val="000000" w:themeColor="text1"/>
        </w:rPr>
        <w:t>M</w:t>
      </w:r>
      <w:r w:rsidR="00D334E6" w:rsidRPr="00D334E6">
        <w:rPr>
          <w:bCs/>
          <w:i/>
          <w:iCs/>
          <w:color w:val="000000" w:themeColor="text1"/>
        </w:rPr>
        <w:t>ild</w:t>
      </w:r>
      <w:r w:rsidRPr="00E132B2">
        <w:rPr>
          <w:bCs/>
          <w:color w:val="000000" w:themeColor="text1"/>
        </w:rPr>
        <w:t>. The</w:t>
      </w:r>
      <w:r>
        <w:rPr>
          <w:bCs/>
          <w:color w:val="000000" w:themeColor="text1"/>
        </w:rPr>
        <w:t xml:space="preserve"> remaining six </w:t>
      </w:r>
      <w:r w:rsidRPr="00E132B2">
        <w:rPr>
          <w:bCs/>
          <w:color w:val="000000" w:themeColor="text1"/>
        </w:rPr>
        <w:t xml:space="preserve">AEs included respiratory illness (4), knee injury occurring at work (1), and a foot injury occurring at home (1). </w:t>
      </w:r>
    </w:p>
    <w:p w14:paraId="6D2DDA9D" w14:textId="77777777" w:rsidR="00485694" w:rsidRDefault="00485694" w:rsidP="00485694">
      <w:pPr>
        <w:rPr>
          <w:rStyle w:val="Heading3Char"/>
          <w:color w:val="000000" w:themeColor="text1"/>
        </w:rPr>
      </w:pPr>
    </w:p>
    <w:p w14:paraId="18AB3520" w14:textId="597D0F7C" w:rsidR="00485694" w:rsidRDefault="00485694" w:rsidP="00485694">
      <w:pPr>
        <w:rPr>
          <w:bCs/>
          <w:color w:val="000000" w:themeColor="text1"/>
        </w:rPr>
      </w:pPr>
      <w:r w:rsidRPr="00E132B2">
        <w:rPr>
          <w:rStyle w:val="Heading3Char"/>
          <w:color w:val="000000" w:themeColor="text1"/>
        </w:rPr>
        <w:t>Adherence</w:t>
      </w:r>
    </w:p>
    <w:p w14:paraId="32B94E3E" w14:textId="3ADA91F5" w:rsidR="00485694" w:rsidRPr="00E132B2" w:rsidRDefault="00485694" w:rsidP="00485694">
      <w:pPr>
        <w:ind w:firstLine="720"/>
        <w:rPr>
          <w:bCs/>
          <w:color w:val="000000" w:themeColor="text1"/>
        </w:rPr>
      </w:pPr>
      <w:r w:rsidRPr="00E132B2">
        <w:rPr>
          <w:bCs/>
          <w:color w:val="000000" w:themeColor="text1"/>
        </w:rPr>
        <w:t>All 14 participants met the minimal adherence standard of 80%, and adherence was not different between groups. The HIIT group attended 93.9% of exercise sessions (range: 86-100%), the MICT group attended 92.4% of exercise sessions (range: 89-100%), and the RT group attended 93.4% of exercise session (range: 89-97%).</w:t>
      </w:r>
      <w:r w:rsidR="00117881">
        <w:rPr>
          <w:bCs/>
          <w:color w:val="000000" w:themeColor="text1"/>
        </w:rPr>
        <w:t xml:space="preserve"> The one-on-one supervised training sessions ensured that target training intensities were met each session. </w:t>
      </w:r>
    </w:p>
    <w:p w14:paraId="6BF1A7F1" w14:textId="77777777" w:rsidR="00485694" w:rsidRDefault="00485694" w:rsidP="00485694">
      <w:pPr>
        <w:rPr>
          <w:rStyle w:val="Heading3Char"/>
          <w:color w:val="000000" w:themeColor="text1"/>
        </w:rPr>
      </w:pPr>
    </w:p>
    <w:p w14:paraId="0337A0D6" w14:textId="4DF26684" w:rsidR="00485694" w:rsidRDefault="00485694" w:rsidP="00485694">
      <w:pPr>
        <w:rPr>
          <w:bCs/>
          <w:color w:val="000000" w:themeColor="text1"/>
        </w:rPr>
      </w:pPr>
      <w:r w:rsidRPr="00E132B2">
        <w:rPr>
          <w:rStyle w:val="Heading3Char"/>
          <w:color w:val="000000" w:themeColor="text1"/>
        </w:rPr>
        <w:t xml:space="preserve">Stationary Bicycle </w:t>
      </w:r>
      <w:r w:rsidR="007631D0">
        <w:rPr>
          <w:rStyle w:val="Heading3Char"/>
          <w:color w:val="000000" w:themeColor="text1"/>
        </w:rPr>
        <w:t>Daily</w:t>
      </w:r>
      <w:r w:rsidRPr="00E132B2">
        <w:rPr>
          <w:rStyle w:val="Heading3Char"/>
          <w:color w:val="000000" w:themeColor="text1"/>
        </w:rPr>
        <w:t xml:space="preserve"> Output</w:t>
      </w:r>
    </w:p>
    <w:p w14:paraId="09FB757F" w14:textId="6753A1B4" w:rsidR="00485694" w:rsidRPr="00E132B2" w:rsidRDefault="00485694" w:rsidP="00485694">
      <w:pPr>
        <w:ind w:firstLine="720"/>
        <w:rPr>
          <w:bCs/>
          <w:color w:val="000000" w:themeColor="text1"/>
        </w:rPr>
      </w:pPr>
      <w:r w:rsidRPr="00E132B2">
        <w:rPr>
          <w:bCs/>
          <w:color w:val="000000" w:themeColor="text1"/>
        </w:rPr>
        <w:t>Total output during the 12-week exercise intervention was recorded for the HIIT and MICT groups. During the first two weeks of the program both groups performed the same moderate-intensity exercise, and as such output from the first two weeks was excluded from analysis. From weeks 3-12 the HIIT group produced</w:t>
      </w:r>
      <w:r>
        <w:rPr>
          <w:bCs/>
          <w:color w:val="000000" w:themeColor="text1"/>
        </w:rPr>
        <w:t xml:space="preserve"> 94.79 ± 14.56 kJ/session</w:t>
      </w:r>
      <w:r w:rsidRPr="00E132B2">
        <w:rPr>
          <w:bCs/>
          <w:color w:val="000000" w:themeColor="text1"/>
        </w:rPr>
        <w:t xml:space="preserve">, while the MICT group produced </w:t>
      </w:r>
      <w:r>
        <w:rPr>
          <w:bCs/>
          <w:color w:val="000000" w:themeColor="text1"/>
        </w:rPr>
        <w:t>210.83 ± 46.01 kJ/session</w:t>
      </w:r>
      <w:r w:rsidRPr="00E132B2">
        <w:rPr>
          <w:bCs/>
          <w:color w:val="000000" w:themeColor="text1"/>
        </w:rPr>
        <w:t>, on average. Output from the HIIT group was 4</w:t>
      </w:r>
      <w:r w:rsidR="007631D0">
        <w:rPr>
          <w:bCs/>
          <w:color w:val="000000" w:themeColor="text1"/>
        </w:rPr>
        <w:t>5</w:t>
      </w:r>
      <w:r w:rsidRPr="00E132B2">
        <w:rPr>
          <w:bCs/>
          <w:color w:val="000000" w:themeColor="text1"/>
        </w:rPr>
        <w:t>% of the output from the MICT group.</w:t>
      </w:r>
    </w:p>
    <w:p w14:paraId="3CB1EE07" w14:textId="03AAAEE7" w:rsidR="00CF11B2" w:rsidRDefault="00913E38"/>
    <w:p w14:paraId="4604739D" w14:textId="33D42182" w:rsidR="00A24735" w:rsidRDefault="00A24735"/>
    <w:p w14:paraId="6C16390A" w14:textId="2B97130B" w:rsidR="00A24735" w:rsidRDefault="00A24735"/>
    <w:p w14:paraId="5DC261BD" w14:textId="77777777" w:rsidR="00A24735" w:rsidRDefault="00A24735"/>
    <w:p w14:paraId="4A6E419D" w14:textId="3CEE9D0B" w:rsidR="00A24735" w:rsidRPr="00117881" w:rsidRDefault="00A24735">
      <w:pPr>
        <w:rPr>
          <w:b/>
          <w:bCs/>
        </w:rPr>
      </w:pPr>
      <w:r w:rsidRPr="00117881">
        <w:rPr>
          <w:b/>
          <w:bCs/>
        </w:rPr>
        <w:t xml:space="preserve">Supplemental Table </w:t>
      </w:r>
      <w:r w:rsidR="00117881">
        <w:rPr>
          <w:b/>
          <w:bCs/>
        </w:rPr>
        <w:t>S</w:t>
      </w:r>
      <w:r w:rsidRPr="00117881">
        <w:rPr>
          <w:b/>
          <w:bCs/>
        </w:rPr>
        <w:t xml:space="preserve">1. 95% Confidence Intervals for baseline and post-intervention </w:t>
      </w:r>
      <w:r w:rsidR="00BA562F" w:rsidRPr="00117881">
        <w:rPr>
          <w:b/>
          <w:bCs/>
        </w:rPr>
        <w:t>means</w:t>
      </w:r>
    </w:p>
    <w:tbl>
      <w:tblPr>
        <w:tblStyle w:val="TableGrid"/>
        <w:tblW w:w="999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1260"/>
        <w:gridCol w:w="1260"/>
        <w:gridCol w:w="270"/>
        <w:gridCol w:w="1260"/>
        <w:gridCol w:w="1260"/>
        <w:gridCol w:w="270"/>
        <w:gridCol w:w="1260"/>
        <w:gridCol w:w="1260"/>
      </w:tblGrid>
      <w:tr w:rsidR="00A24735" w:rsidRPr="00A24735" w14:paraId="7F7522ED" w14:textId="77777777" w:rsidTr="009060B1">
        <w:trPr>
          <w:trHeight w:val="387"/>
        </w:trPr>
        <w:tc>
          <w:tcPr>
            <w:tcW w:w="1890" w:type="dxa"/>
          </w:tcPr>
          <w:p w14:paraId="640564E1" w14:textId="77777777" w:rsidR="00A24735" w:rsidRPr="00A24735" w:rsidRDefault="00A24735" w:rsidP="0049032B">
            <w:pPr>
              <w:rPr>
                <w:sz w:val="18"/>
                <w:szCs w:val="18"/>
              </w:rPr>
            </w:pPr>
          </w:p>
        </w:tc>
        <w:tc>
          <w:tcPr>
            <w:tcW w:w="2520" w:type="dxa"/>
            <w:gridSpan w:val="2"/>
            <w:tcBorders>
              <w:top w:val="single" w:sz="4" w:space="0" w:color="auto"/>
              <w:bottom w:val="single" w:sz="4" w:space="0" w:color="auto"/>
            </w:tcBorders>
            <w:vAlign w:val="center"/>
          </w:tcPr>
          <w:p w14:paraId="7949816C" w14:textId="77777777" w:rsidR="00A24735" w:rsidRPr="00A24735" w:rsidRDefault="00A24735" w:rsidP="0049032B">
            <w:pPr>
              <w:jc w:val="center"/>
              <w:rPr>
                <w:sz w:val="18"/>
                <w:szCs w:val="18"/>
              </w:rPr>
            </w:pPr>
            <w:r w:rsidRPr="00A24735">
              <w:rPr>
                <w:sz w:val="18"/>
                <w:szCs w:val="18"/>
              </w:rPr>
              <w:t>HIIT</w:t>
            </w:r>
          </w:p>
          <w:p w14:paraId="3DFBF277" w14:textId="39295EE0" w:rsidR="00A24735" w:rsidRPr="00A24735" w:rsidRDefault="00A24735" w:rsidP="0049032B">
            <w:pPr>
              <w:jc w:val="center"/>
              <w:rPr>
                <w:sz w:val="18"/>
                <w:szCs w:val="18"/>
              </w:rPr>
            </w:pPr>
            <w:r w:rsidRPr="00A24735">
              <w:rPr>
                <w:sz w:val="18"/>
                <w:szCs w:val="18"/>
              </w:rPr>
              <w:t>(N = 5)</w:t>
            </w:r>
          </w:p>
        </w:tc>
        <w:tc>
          <w:tcPr>
            <w:tcW w:w="270" w:type="dxa"/>
            <w:vAlign w:val="center"/>
          </w:tcPr>
          <w:p w14:paraId="05919A33" w14:textId="77777777" w:rsidR="00A24735" w:rsidRPr="00A24735" w:rsidRDefault="00A24735" w:rsidP="0049032B">
            <w:pPr>
              <w:jc w:val="center"/>
              <w:rPr>
                <w:sz w:val="18"/>
                <w:szCs w:val="18"/>
              </w:rPr>
            </w:pPr>
          </w:p>
        </w:tc>
        <w:tc>
          <w:tcPr>
            <w:tcW w:w="2520" w:type="dxa"/>
            <w:gridSpan w:val="2"/>
            <w:tcBorders>
              <w:top w:val="single" w:sz="4" w:space="0" w:color="auto"/>
              <w:bottom w:val="single" w:sz="4" w:space="0" w:color="auto"/>
            </w:tcBorders>
            <w:vAlign w:val="center"/>
          </w:tcPr>
          <w:p w14:paraId="6A2B19E1" w14:textId="77777777" w:rsidR="00A24735" w:rsidRPr="00A24735" w:rsidRDefault="00A24735" w:rsidP="0049032B">
            <w:pPr>
              <w:jc w:val="center"/>
              <w:rPr>
                <w:sz w:val="18"/>
                <w:szCs w:val="18"/>
              </w:rPr>
            </w:pPr>
            <w:r w:rsidRPr="00A24735">
              <w:rPr>
                <w:sz w:val="18"/>
                <w:szCs w:val="18"/>
              </w:rPr>
              <w:t>MICT</w:t>
            </w:r>
          </w:p>
          <w:p w14:paraId="3DD53745" w14:textId="31618842" w:rsidR="00A24735" w:rsidRPr="00A24735" w:rsidRDefault="00A24735" w:rsidP="0049032B">
            <w:pPr>
              <w:jc w:val="center"/>
              <w:rPr>
                <w:sz w:val="18"/>
                <w:szCs w:val="18"/>
              </w:rPr>
            </w:pPr>
            <w:r w:rsidRPr="00A24735">
              <w:rPr>
                <w:sz w:val="18"/>
                <w:szCs w:val="18"/>
              </w:rPr>
              <w:t>(N = 4)</w:t>
            </w:r>
          </w:p>
        </w:tc>
        <w:tc>
          <w:tcPr>
            <w:tcW w:w="270" w:type="dxa"/>
            <w:vAlign w:val="center"/>
          </w:tcPr>
          <w:p w14:paraId="37B63A5E" w14:textId="77777777" w:rsidR="00A24735" w:rsidRPr="00A24735" w:rsidRDefault="00A24735" w:rsidP="0049032B">
            <w:pPr>
              <w:jc w:val="center"/>
              <w:rPr>
                <w:sz w:val="18"/>
                <w:szCs w:val="18"/>
              </w:rPr>
            </w:pPr>
          </w:p>
        </w:tc>
        <w:tc>
          <w:tcPr>
            <w:tcW w:w="2520" w:type="dxa"/>
            <w:gridSpan w:val="2"/>
            <w:tcBorders>
              <w:top w:val="single" w:sz="4" w:space="0" w:color="auto"/>
              <w:bottom w:val="single" w:sz="4" w:space="0" w:color="auto"/>
            </w:tcBorders>
            <w:vAlign w:val="center"/>
          </w:tcPr>
          <w:p w14:paraId="0DAD1751" w14:textId="77777777" w:rsidR="00A24735" w:rsidRPr="00A24735" w:rsidRDefault="00A24735" w:rsidP="0049032B">
            <w:pPr>
              <w:jc w:val="center"/>
              <w:rPr>
                <w:sz w:val="18"/>
                <w:szCs w:val="18"/>
              </w:rPr>
            </w:pPr>
            <w:r w:rsidRPr="00A24735">
              <w:rPr>
                <w:sz w:val="18"/>
                <w:szCs w:val="18"/>
              </w:rPr>
              <w:t>RT</w:t>
            </w:r>
          </w:p>
          <w:p w14:paraId="64E9FBFE" w14:textId="2AADDCAB" w:rsidR="00A24735" w:rsidRPr="00A24735" w:rsidRDefault="00A24735" w:rsidP="0049032B">
            <w:pPr>
              <w:jc w:val="center"/>
              <w:rPr>
                <w:sz w:val="18"/>
                <w:szCs w:val="18"/>
              </w:rPr>
            </w:pPr>
            <w:r w:rsidRPr="00A24735">
              <w:rPr>
                <w:sz w:val="18"/>
                <w:szCs w:val="18"/>
              </w:rPr>
              <w:t>(N = 5)</w:t>
            </w:r>
          </w:p>
        </w:tc>
      </w:tr>
      <w:tr w:rsidR="009060B1" w:rsidRPr="00A24735" w14:paraId="165C9056" w14:textId="77777777" w:rsidTr="009060B1">
        <w:trPr>
          <w:trHeight w:val="387"/>
        </w:trPr>
        <w:tc>
          <w:tcPr>
            <w:tcW w:w="1890" w:type="dxa"/>
            <w:tcBorders>
              <w:bottom w:val="single" w:sz="4" w:space="0" w:color="auto"/>
            </w:tcBorders>
            <w:vAlign w:val="center"/>
            <w:hideMark/>
          </w:tcPr>
          <w:p w14:paraId="4BC9CE44" w14:textId="77777777" w:rsidR="00A24735" w:rsidRPr="00A24735" w:rsidRDefault="00A24735" w:rsidP="0049032B">
            <w:pPr>
              <w:jc w:val="center"/>
              <w:rPr>
                <w:sz w:val="18"/>
                <w:szCs w:val="18"/>
              </w:rPr>
            </w:pPr>
          </w:p>
        </w:tc>
        <w:tc>
          <w:tcPr>
            <w:tcW w:w="1260" w:type="dxa"/>
            <w:tcBorders>
              <w:top w:val="single" w:sz="4" w:space="0" w:color="auto"/>
              <w:bottom w:val="single" w:sz="4" w:space="0" w:color="auto"/>
            </w:tcBorders>
            <w:vAlign w:val="center"/>
          </w:tcPr>
          <w:p w14:paraId="17FADD66" w14:textId="77777777" w:rsidR="00A24735" w:rsidRPr="00A24735" w:rsidRDefault="00A24735" w:rsidP="0049032B">
            <w:pPr>
              <w:jc w:val="center"/>
              <w:rPr>
                <w:sz w:val="18"/>
                <w:szCs w:val="18"/>
              </w:rPr>
            </w:pPr>
            <w:r w:rsidRPr="00A24735">
              <w:rPr>
                <w:sz w:val="18"/>
                <w:szCs w:val="18"/>
              </w:rPr>
              <w:t>Pre</w:t>
            </w:r>
          </w:p>
        </w:tc>
        <w:tc>
          <w:tcPr>
            <w:tcW w:w="1260" w:type="dxa"/>
            <w:tcBorders>
              <w:top w:val="single" w:sz="4" w:space="0" w:color="auto"/>
              <w:bottom w:val="single" w:sz="4" w:space="0" w:color="auto"/>
            </w:tcBorders>
            <w:vAlign w:val="center"/>
          </w:tcPr>
          <w:p w14:paraId="0E0C4B9A" w14:textId="77777777" w:rsidR="00A24735" w:rsidRPr="00A24735" w:rsidRDefault="00A24735" w:rsidP="0049032B">
            <w:pPr>
              <w:jc w:val="center"/>
              <w:rPr>
                <w:sz w:val="18"/>
                <w:szCs w:val="18"/>
              </w:rPr>
            </w:pPr>
            <w:r w:rsidRPr="00A24735">
              <w:rPr>
                <w:sz w:val="18"/>
                <w:szCs w:val="18"/>
              </w:rPr>
              <w:t>Post</w:t>
            </w:r>
          </w:p>
        </w:tc>
        <w:tc>
          <w:tcPr>
            <w:tcW w:w="270" w:type="dxa"/>
            <w:tcBorders>
              <w:bottom w:val="single" w:sz="4" w:space="0" w:color="auto"/>
            </w:tcBorders>
            <w:vAlign w:val="center"/>
          </w:tcPr>
          <w:p w14:paraId="08BD199B" w14:textId="77777777" w:rsidR="00A24735" w:rsidRPr="00A24735" w:rsidRDefault="00A24735" w:rsidP="0049032B">
            <w:pPr>
              <w:jc w:val="center"/>
              <w:rPr>
                <w:sz w:val="18"/>
                <w:szCs w:val="18"/>
              </w:rPr>
            </w:pPr>
          </w:p>
        </w:tc>
        <w:tc>
          <w:tcPr>
            <w:tcW w:w="1260" w:type="dxa"/>
            <w:tcBorders>
              <w:top w:val="single" w:sz="4" w:space="0" w:color="auto"/>
              <w:bottom w:val="single" w:sz="4" w:space="0" w:color="auto"/>
            </w:tcBorders>
            <w:vAlign w:val="center"/>
          </w:tcPr>
          <w:p w14:paraId="598C0DCC" w14:textId="77777777" w:rsidR="00A24735" w:rsidRPr="00A24735" w:rsidRDefault="00A24735" w:rsidP="0049032B">
            <w:pPr>
              <w:jc w:val="center"/>
              <w:rPr>
                <w:sz w:val="18"/>
                <w:szCs w:val="18"/>
              </w:rPr>
            </w:pPr>
            <w:r w:rsidRPr="00A24735">
              <w:rPr>
                <w:sz w:val="18"/>
                <w:szCs w:val="18"/>
              </w:rPr>
              <w:t>Pre</w:t>
            </w:r>
          </w:p>
        </w:tc>
        <w:tc>
          <w:tcPr>
            <w:tcW w:w="1260" w:type="dxa"/>
            <w:tcBorders>
              <w:top w:val="single" w:sz="4" w:space="0" w:color="auto"/>
              <w:bottom w:val="single" w:sz="4" w:space="0" w:color="auto"/>
            </w:tcBorders>
            <w:vAlign w:val="center"/>
          </w:tcPr>
          <w:p w14:paraId="6CFA37AE" w14:textId="77777777" w:rsidR="00A24735" w:rsidRPr="00A24735" w:rsidRDefault="00A24735" w:rsidP="0049032B">
            <w:pPr>
              <w:jc w:val="center"/>
              <w:rPr>
                <w:sz w:val="18"/>
                <w:szCs w:val="18"/>
              </w:rPr>
            </w:pPr>
            <w:r w:rsidRPr="00A24735">
              <w:rPr>
                <w:sz w:val="18"/>
                <w:szCs w:val="18"/>
              </w:rPr>
              <w:t>Post</w:t>
            </w:r>
          </w:p>
        </w:tc>
        <w:tc>
          <w:tcPr>
            <w:tcW w:w="270" w:type="dxa"/>
            <w:tcBorders>
              <w:bottom w:val="single" w:sz="4" w:space="0" w:color="auto"/>
            </w:tcBorders>
            <w:vAlign w:val="center"/>
          </w:tcPr>
          <w:p w14:paraId="5636EF9E" w14:textId="77777777" w:rsidR="00A24735" w:rsidRPr="00A24735" w:rsidRDefault="00A24735" w:rsidP="0049032B">
            <w:pPr>
              <w:jc w:val="center"/>
              <w:rPr>
                <w:sz w:val="18"/>
                <w:szCs w:val="18"/>
              </w:rPr>
            </w:pPr>
          </w:p>
        </w:tc>
        <w:tc>
          <w:tcPr>
            <w:tcW w:w="1260" w:type="dxa"/>
            <w:tcBorders>
              <w:top w:val="single" w:sz="4" w:space="0" w:color="auto"/>
              <w:bottom w:val="single" w:sz="4" w:space="0" w:color="auto"/>
            </w:tcBorders>
            <w:vAlign w:val="center"/>
          </w:tcPr>
          <w:p w14:paraId="14935F56" w14:textId="77777777" w:rsidR="00A24735" w:rsidRPr="00A24735" w:rsidRDefault="00A24735" w:rsidP="0049032B">
            <w:pPr>
              <w:jc w:val="center"/>
              <w:rPr>
                <w:sz w:val="18"/>
                <w:szCs w:val="18"/>
              </w:rPr>
            </w:pPr>
            <w:r w:rsidRPr="00A24735">
              <w:rPr>
                <w:sz w:val="18"/>
                <w:szCs w:val="18"/>
              </w:rPr>
              <w:t>Pre</w:t>
            </w:r>
          </w:p>
        </w:tc>
        <w:tc>
          <w:tcPr>
            <w:tcW w:w="1260" w:type="dxa"/>
            <w:tcBorders>
              <w:top w:val="single" w:sz="4" w:space="0" w:color="auto"/>
              <w:bottom w:val="single" w:sz="4" w:space="0" w:color="auto"/>
            </w:tcBorders>
            <w:vAlign w:val="center"/>
          </w:tcPr>
          <w:p w14:paraId="74BD1F09" w14:textId="77777777" w:rsidR="00A24735" w:rsidRPr="00A24735" w:rsidRDefault="00A24735" w:rsidP="0049032B">
            <w:pPr>
              <w:jc w:val="center"/>
              <w:rPr>
                <w:sz w:val="18"/>
                <w:szCs w:val="18"/>
              </w:rPr>
            </w:pPr>
            <w:r w:rsidRPr="00A24735">
              <w:rPr>
                <w:sz w:val="18"/>
                <w:szCs w:val="18"/>
              </w:rPr>
              <w:t>Post</w:t>
            </w:r>
          </w:p>
        </w:tc>
      </w:tr>
      <w:tr w:rsidR="009060B1" w:rsidRPr="00A24735" w14:paraId="17217E9A" w14:textId="77777777" w:rsidTr="009060B1">
        <w:trPr>
          <w:trHeight w:val="387"/>
        </w:trPr>
        <w:tc>
          <w:tcPr>
            <w:tcW w:w="1890" w:type="dxa"/>
            <w:vAlign w:val="center"/>
          </w:tcPr>
          <w:p w14:paraId="72E85639" w14:textId="77777777" w:rsidR="00A24735" w:rsidRPr="00A24735" w:rsidRDefault="00A24735" w:rsidP="0049032B">
            <w:pPr>
              <w:rPr>
                <w:sz w:val="18"/>
                <w:szCs w:val="18"/>
              </w:rPr>
            </w:pPr>
            <w:r w:rsidRPr="00A24735">
              <w:rPr>
                <w:sz w:val="18"/>
                <w:szCs w:val="18"/>
              </w:rPr>
              <w:t>Body Mass (kg)</w:t>
            </w:r>
          </w:p>
        </w:tc>
        <w:tc>
          <w:tcPr>
            <w:tcW w:w="1260" w:type="dxa"/>
            <w:vAlign w:val="center"/>
          </w:tcPr>
          <w:p w14:paraId="5640D0B3" w14:textId="48DE2EA3" w:rsidR="00A24735" w:rsidRPr="00A24735" w:rsidRDefault="00F41815" w:rsidP="0049032B">
            <w:pPr>
              <w:jc w:val="center"/>
              <w:rPr>
                <w:sz w:val="18"/>
                <w:szCs w:val="18"/>
              </w:rPr>
            </w:pPr>
            <w:r>
              <w:rPr>
                <w:sz w:val="18"/>
                <w:szCs w:val="18"/>
              </w:rPr>
              <w:t>51.6 to 100.5</w:t>
            </w:r>
          </w:p>
        </w:tc>
        <w:tc>
          <w:tcPr>
            <w:tcW w:w="1260" w:type="dxa"/>
            <w:vAlign w:val="center"/>
          </w:tcPr>
          <w:p w14:paraId="0F9356F2" w14:textId="7186672C" w:rsidR="00A24735" w:rsidRPr="00A24735" w:rsidRDefault="00F41815" w:rsidP="0049032B">
            <w:pPr>
              <w:jc w:val="center"/>
              <w:rPr>
                <w:sz w:val="18"/>
                <w:szCs w:val="18"/>
              </w:rPr>
            </w:pPr>
            <w:r>
              <w:rPr>
                <w:sz w:val="18"/>
                <w:szCs w:val="18"/>
              </w:rPr>
              <w:t>53.1 to 98.7</w:t>
            </w:r>
          </w:p>
        </w:tc>
        <w:tc>
          <w:tcPr>
            <w:tcW w:w="270" w:type="dxa"/>
            <w:vAlign w:val="center"/>
          </w:tcPr>
          <w:p w14:paraId="227B3551" w14:textId="77777777" w:rsidR="00A24735" w:rsidRPr="00A24735" w:rsidRDefault="00A24735" w:rsidP="0049032B">
            <w:pPr>
              <w:jc w:val="center"/>
              <w:rPr>
                <w:sz w:val="18"/>
                <w:szCs w:val="18"/>
              </w:rPr>
            </w:pPr>
          </w:p>
        </w:tc>
        <w:tc>
          <w:tcPr>
            <w:tcW w:w="1260" w:type="dxa"/>
            <w:vAlign w:val="center"/>
          </w:tcPr>
          <w:p w14:paraId="6BB92F20" w14:textId="1899C3C3" w:rsidR="00A24735" w:rsidRPr="00A24735" w:rsidRDefault="00F41815" w:rsidP="0049032B">
            <w:pPr>
              <w:jc w:val="center"/>
              <w:rPr>
                <w:sz w:val="18"/>
                <w:szCs w:val="18"/>
              </w:rPr>
            </w:pPr>
            <w:r>
              <w:rPr>
                <w:sz w:val="18"/>
                <w:szCs w:val="18"/>
              </w:rPr>
              <w:t>38.0 to 135.4</w:t>
            </w:r>
          </w:p>
        </w:tc>
        <w:tc>
          <w:tcPr>
            <w:tcW w:w="1260" w:type="dxa"/>
            <w:vAlign w:val="center"/>
          </w:tcPr>
          <w:p w14:paraId="3A51E280" w14:textId="53651A9E" w:rsidR="00A24735" w:rsidRPr="00A24735" w:rsidRDefault="00F41815" w:rsidP="0049032B">
            <w:pPr>
              <w:jc w:val="center"/>
              <w:rPr>
                <w:sz w:val="18"/>
                <w:szCs w:val="18"/>
              </w:rPr>
            </w:pPr>
            <w:r>
              <w:rPr>
                <w:sz w:val="18"/>
                <w:szCs w:val="18"/>
              </w:rPr>
              <w:t>37.4 to 138.5</w:t>
            </w:r>
          </w:p>
        </w:tc>
        <w:tc>
          <w:tcPr>
            <w:tcW w:w="270" w:type="dxa"/>
            <w:vAlign w:val="center"/>
          </w:tcPr>
          <w:p w14:paraId="726B1659" w14:textId="77777777" w:rsidR="00A24735" w:rsidRPr="00A24735" w:rsidRDefault="00A24735" w:rsidP="0049032B">
            <w:pPr>
              <w:jc w:val="center"/>
              <w:rPr>
                <w:sz w:val="18"/>
                <w:szCs w:val="18"/>
              </w:rPr>
            </w:pPr>
          </w:p>
        </w:tc>
        <w:tc>
          <w:tcPr>
            <w:tcW w:w="1260" w:type="dxa"/>
            <w:vAlign w:val="center"/>
          </w:tcPr>
          <w:p w14:paraId="114549F9" w14:textId="1029C392" w:rsidR="00A24735" w:rsidRPr="00A24735" w:rsidRDefault="00F41815" w:rsidP="0049032B">
            <w:pPr>
              <w:jc w:val="center"/>
              <w:rPr>
                <w:sz w:val="18"/>
                <w:szCs w:val="18"/>
              </w:rPr>
            </w:pPr>
            <w:r>
              <w:rPr>
                <w:sz w:val="18"/>
                <w:szCs w:val="18"/>
              </w:rPr>
              <w:t>53.0 to 92.1</w:t>
            </w:r>
          </w:p>
        </w:tc>
        <w:tc>
          <w:tcPr>
            <w:tcW w:w="1260" w:type="dxa"/>
            <w:vAlign w:val="center"/>
          </w:tcPr>
          <w:p w14:paraId="2A338FD4" w14:textId="403DB81F" w:rsidR="00A24735" w:rsidRPr="00A24735" w:rsidRDefault="00F41815" w:rsidP="0049032B">
            <w:pPr>
              <w:jc w:val="center"/>
              <w:rPr>
                <w:sz w:val="18"/>
                <w:szCs w:val="18"/>
              </w:rPr>
            </w:pPr>
            <w:r>
              <w:rPr>
                <w:sz w:val="18"/>
                <w:szCs w:val="18"/>
              </w:rPr>
              <w:t>51.1 to 91.5</w:t>
            </w:r>
          </w:p>
        </w:tc>
      </w:tr>
      <w:tr w:rsidR="009060B1" w:rsidRPr="00A24735" w14:paraId="719D0DF8" w14:textId="77777777" w:rsidTr="009060B1">
        <w:trPr>
          <w:trHeight w:val="387"/>
        </w:trPr>
        <w:tc>
          <w:tcPr>
            <w:tcW w:w="1890" w:type="dxa"/>
            <w:vAlign w:val="center"/>
          </w:tcPr>
          <w:p w14:paraId="7B029177" w14:textId="77777777" w:rsidR="00A24735" w:rsidRPr="00A24735" w:rsidRDefault="00A24735" w:rsidP="0049032B">
            <w:pPr>
              <w:rPr>
                <w:sz w:val="18"/>
                <w:szCs w:val="18"/>
              </w:rPr>
            </w:pPr>
            <w:r w:rsidRPr="00A24735">
              <w:rPr>
                <w:sz w:val="18"/>
                <w:szCs w:val="18"/>
              </w:rPr>
              <w:t>BMI (kg/m</w:t>
            </w:r>
            <w:r w:rsidRPr="00A24735">
              <w:rPr>
                <w:sz w:val="18"/>
                <w:szCs w:val="18"/>
                <w:vertAlign w:val="superscript"/>
              </w:rPr>
              <w:t>2</w:t>
            </w:r>
            <w:r w:rsidRPr="00A24735">
              <w:rPr>
                <w:sz w:val="18"/>
                <w:szCs w:val="18"/>
              </w:rPr>
              <w:t>)</w:t>
            </w:r>
          </w:p>
        </w:tc>
        <w:tc>
          <w:tcPr>
            <w:tcW w:w="1260" w:type="dxa"/>
            <w:vAlign w:val="center"/>
          </w:tcPr>
          <w:p w14:paraId="2C9372ED" w14:textId="4C69637F" w:rsidR="00A24735" w:rsidRPr="00A24735" w:rsidRDefault="00F41815" w:rsidP="0049032B">
            <w:pPr>
              <w:jc w:val="center"/>
              <w:rPr>
                <w:sz w:val="18"/>
                <w:szCs w:val="18"/>
              </w:rPr>
            </w:pPr>
            <w:r>
              <w:rPr>
                <w:sz w:val="18"/>
                <w:szCs w:val="18"/>
              </w:rPr>
              <w:t>21.5 to 35.1</w:t>
            </w:r>
          </w:p>
        </w:tc>
        <w:tc>
          <w:tcPr>
            <w:tcW w:w="1260" w:type="dxa"/>
            <w:vAlign w:val="center"/>
          </w:tcPr>
          <w:p w14:paraId="2FACA8C5" w14:textId="03D95727" w:rsidR="00A24735" w:rsidRPr="00A24735" w:rsidRDefault="00F41815" w:rsidP="0049032B">
            <w:pPr>
              <w:jc w:val="center"/>
              <w:rPr>
                <w:sz w:val="18"/>
                <w:szCs w:val="18"/>
              </w:rPr>
            </w:pPr>
            <w:r>
              <w:rPr>
                <w:sz w:val="18"/>
                <w:szCs w:val="18"/>
              </w:rPr>
              <w:t>22.1 to 34.4</w:t>
            </w:r>
          </w:p>
        </w:tc>
        <w:tc>
          <w:tcPr>
            <w:tcW w:w="270" w:type="dxa"/>
            <w:vAlign w:val="center"/>
          </w:tcPr>
          <w:p w14:paraId="0DD349AA" w14:textId="77777777" w:rsidR="00A24735" w:rsidRPr="00A24735" w:rsidRDefault="00A24735" w:rsidP="0049032B">
            <w:pPr>
              <w:jc w:val="center"/>
              <w:rPr>
                <w:sz w:val="18"/>
                <w:szCs w:val="18"/>
              </w:rPr>
            </w:pPr>
          </w:p>
        </w:tc>
        <w:tc>
          <w:tcPr>
            <w:tcW w:w="1260" w:type="dxa"/>
            <w:vAlign w:val="center"/>
          </w:tcPr>
          <w:p w14:paraId="7DBDA5CB" w14:textId="7FA27820" w:rsidR="00A24735" w:rsidRPr="00A24735" w:rsidRDefault="00F41815" w:rsidP="0049032B">
            <w:pPr>
              <w:jc w:val="center"/>
              <w:rPr>
                <w:sz w:val="18"/>
                <w:szCs w:val="18"/>
              </w:rPr>
            </w:pPr>
            <w:r>
              <w:rPr>
                <w:sz w:val="18"/>
                <w:szCs w:val="18"/>
              </w:rPr>
              <w:t>22.2 to 38.5</w:t>
            </w:r>
          </w:p>
        </w:tc>
        <w:tc>
          <w:tcPr>
            <w:tcW w:w="1260" w:type="dxa"/>
            <w:vAlign w:val="center"/>
          </w:tcPr>
          <w:p w14:paraId="6F8E4EEF" w14:textId="0C1D5DFC" w:rsidR="00A24735" w:rsidRPr="00A24735" w:rsidRDefault="00F41815" w:rsidP="0049032B">
            <w:pPr>
              <w:jc w:val="center"/>
              <w:rPr>
                <w:sz w:val="18"/>
                <w:szCs w:val="18"/>
              </w:rPr>
            </w:pPr>
            <w:r>
              <w:rPr>
                <w:sz w:val="18"/>
                <w:szCs w:val="18"/>
              </w:rPr>
              <w:t>22.2 to 39.4</w:t>
            </w:r>
          </w:p>
        </w:tc>
        <w:tc>
          <w:tcPr>
            <w:tcW w:w="270" w:type="dxa"/>
            <w:vAlign w:val="center"/>
          </w:tcPr>
          <w:p w14:paraId="41772022" w14:textId="77777777" w:rsidR="00A24735" w:rsidRPr="00A24735" w:rsidRDefault="00A24735" w:rsidP="0049032B">
            <w:pPr>
              <w:jc w:val="center"/>
              <w:rPr>
                <w:sz w:val="18"/>
                <w:szCs w:val="18"/>
              </w:rPr>
            </w:pPr>
          </w:p>
        </w:tc>
        <w:tc>
          <w:tcPr>
            <w:tcW w:w="1260" w:type="dxa"/>
            <w:vAlign w:val="center"/>
          </w:tcPr>
          <w:p w14:paraId="12189531" w14:textId="4FB00BAA" w:rsidR="00A24735" w:rsidRPr="00A24735" w:rsidRDefault="00F41815" w:rsidP="0049032B">
            <w:pPr>
              <w:jc w:val="center"/>
              <w:rPr>
                <w:sz w:val="18"/>
                <w:szCs w:val="18"/>
              </w:rPr>
            </w:pPr>
            <w:r>
              <w:rPr>
                <w:sz w:val="18"/>
                <w:szCs w:val="18"/>
              </w:rPr>
              <w:t>22.4 to 32.9</w:t>
            </w:r>
          </w:p>
        </w:tc>
        <w:tc>
          <w:tcPr>
            <w:tcW w:w="1260" w:type="dxa"/>
            <w:vAlign w:val="center"/>
          </w:tcPr>
          <w:p w14:paraId="54202E4C" w14:textId="6DDFA457" w:rsidR="00A24735" w:rsidRPr="00A24735" w:rsidRDefault="00F41815" w:rsidP="0049032B">
            <w:pPr>
              <w:jc w:val="center"/>
              <w:rPr>
                <w:sz w:val="18"/>
                <w:szCs w:val="18"/>
              </w:rPr>
            </w:pPr>
            <w:r>
              <w:rPr>
                <w:sz w:val="18"/>
                <w:szCs w:val="18"/>
              </w:rPr>
              <w:t>22.1 to 32.1</w:t>
            </w:r>
          </w:p>
        </w:tc>
      </w:tr>
      <w:tr w:rsidR="009060B1" w:rsidRPr="00A24735" w14:paraId="6762622D" w14:textId="77777777" w:rsidTr="009060B1">
        <w:trPr>
          <w:trHeight w:val="387"/>
        </w:trPr>
        <w:tc>
          <w:tcPr>
            <w:tcW w:w="1890" w:type="dxa"/>
            <w:vAlign w:val="center"/>
            <w:hideMark/>
          </w:tcPr>
          <w:p w14:paraId="312DE6AB" w14:textId="77EFA341" w:rsidR="00A24735" w:rsidRPr="00A24735" w:rsidRDefault="00913E38" w:rsidP="0049032B">
            <w:pPr>
              <w:rPr>
                <w:sz w:val="18"/>
                <w:szCs w:val="18"/>
              </w:rPr>
            </w:pPr>
            <w:r>
              <w:rPr>
                <w:sz w:val="18"/>
                <w:szCs w:val="18"/>
              </w:rPr>
              <w:t>Isok. Strength</w:t>
            </w:r>
            <w:r w:rsidR="00A24735" w:rsidRPr="00A24735">
              <w:rPr>
                <w:sz w:val="18"/>
                <w:szCs w:val="18"/>
              </w:rPr>
              <w:t xml:space="preserve"> (N-m)</w:t>
            </w:r>
          </w:p>
        </w:tc>
        <w:tc>
          <w:tcPr>
            <w:tcW w:w="1260" w:type="dxa"/>
            <w:vAlign w:val="center"/>
          </w:tcPr>
          <w:p w14:paraId="48F70676" w14:textId="546FF25F" w:rsidR="00A24735" w:rsidRPr="00A24735" w:rsidRDefault="00BA562F" w:rsidP="0049032B">
            <w:pPr>
              <w:jc w:val="center"/>
              <w:rPr>
                <w:sz w:val="18"/>
                <w:szCs w:val="18"/>
              </w:rPr>
            </w:pPr>
            <w:r>
              <w:rPr>
                <w:sz w:val="18"/>
                <w:szCs w:val="18"/>
              </w:rPr>
              <w:t>71.1 to 128.4</w:t>
            </w:r>
          </w:p>
        </w:tc>
        <w:tc>
          <w:tcPr>
            <w:tcW w:w="1260" w:type="dxa"/>
            <w:vAlign w:val="center"/>
          </w:tcPr>
          <w:p w14:paraId="47BFBCA0" w14:textId="48803FAA" w:rsidR="00A24735" w:rsidRPr="00A24735" w:rsidRDefault="00BA562F" w:rsidP="0049032B">
            <w:pPr>
              <w:jc w:val="center"/>
              <w:rPr>
                <w:color w:val="000000"/>
                <w:sz w:val="18"/>
                <w:szCs w:val="18"/>
              </w:rPr>
            </w:pPr>
            <w:r>
              <w:rPr>
                <w:color w:val="000000"/>
                <w:sz w:val="18"/>
                <w:szCs w:val="18"/>
              </w:rPr>
              <w:t>69.5 to 129.5</w:t>
            </w:r>
          </w:p>
        </w:tc>
        <w:tc>
          <w:tcPr>
            <w:tcW w:w="270" w:type="dxa"/>
            <w:vAlign w:val="center"/>
          </w:tcPr>
          <w:p w14:paraId="21B42536" w14:textId="77777777" w:rsidR="00A24735" w:rsidRPr="00A24735" w:rsidRDefault="00A24735" w:rsidP="0049032B">
            <w:pPr>
              <w:jc w:val="center"/>
              <w:rPr>
                <w:sz w:val="18"/>
                <w:szCs w:val="18"/>
              </w:rPr>
            </w:pPr>
          </w:p>
        </w:tc>
        <w:tc>
          <w:tcPr>
            <w:tcW w:w="1260" w:type="dxa"/>
            <w:vAlign w:val="center"/>
          </w:tcPr>
          <w:p w14:paraId="17044F5A" w14:textId="12100D2C" w:rsidR="00A24735" w:rsidRPr="00A24735" w:rsidRDefault="00BA562F" w:rsidP="0049032B">
            <w:pPr>
              <w:jc w:val="center"/>
              <w:rPr>
                <w:sz w:val="18"/>
                <w:szCs w:val="18"/>
              </w:rPr>
            </w:pPr>
            <w:r>
              <w:rPr>
                <w:sz w:val="18"/>
                <w:szCs w:val="18"/>
              </w:rPr>
              <w:t>13.2 to 199.1</w:t>
            </w:r>
          </w:p>
        </w:tc>
        <w:tc>
          <w:tcPr>
            <w:tcW w:w="1260" w:type="dxa"/>
            <w:vAlign w:val="center"/>
          </w:tcPr>
          <w:p w14:paraId="1B64F528" w14:textId="0B958814" w:rsidR="00A24735" w:rsidRPr="00A24735" w:rsidRDefault="00BA562F" w:rsidP="0049032B">
            <w:pPr>
              <w:jc w:val="center"/>
              <w:rPr>
                <w:sz w:val="18"/>
                <w:szCs w:val="18"/>
              </w:rPr>
            </w:pPr>
            <w:r>
              <w:rPr>
                <w:color w:val="000000"/>
                <w:sz w:val="18"/>
                <w:szCs w:val="18"/>
              </w:rPr>
              <w:t>11.5 to 216.3</w:t>
            </w:r>
          </w:p>
        </w:tc>
        <w:tc>
          <w:tcPr>
            <w:tcW w:w="270" w:type="dxa"/>
            <w:vAlign w:val="center"/>
          </w:tcPr>
          <w:p w14:paraId="0B1DC19F" w14:textId="77777777" w:rsidR="00A24735" w:rsidRPr="00A24735" w:rsidRDefault="00A24735" w:rsidP="0049032B">
            <w:pPr>
              <w:jc w:val="center"/>
              <w:rPr>
                <w:sz w:val="18"/>
                <w:szCs w:val="18"/>
              </w:rPr>
            </w:pPr>
          </w:p>
        </w:tc>
        <w:tc>
          <w:tcPr>
            <w:tcW w:w="1260" w:type="dxa"/>
            <w:vAlign w:val="center"/>
          </w:tcPr>
          <w:p w14:paraId="0F99AC2F" w14:textId="5A9E82B8" w:rsidR="00A24735" w:rsidRPr="00A24735" w:rsidRDefault="00BA562F" w:rsidP="0049032B">
            <w:pPr>
              <w:jc w:val="center"/>
              <w:rPr>
                <w:sz w:val="18"/>
                <w:szCs w:val="18"/>
              </w:rPr>
            </w:pPr>
            <w:r>
              <w:rPr>
                <w:sz w:val="18"/>
                <w:szCs w:val="18"/>
              </w:rPr>
              <w:t>86.7 to 102.9</w:t>
            </w:r>
          </w:p>
        </w:tc>
        <w:tc>
          <w:tcPr>
            <w:tcW w:w="1260" w:type="dxa"/>
            <w:vAlign w:val="center"/>
          </w:tcPr>
          <w:p w14:paraId="156F3C20" w14:textId="5D2D63E2" w:rsidR="00A24735" w:rsidRPr="00A24735" w:rsidRDefault="00BA562F" w:rsidP="0049032B">
            <w:pPr>
              <w:jc w:val="center"/>
              <w:rPr>
                <w:sz w:val="18"/>
                <w:szCs w:val="18"/>
              </w:rPr>
            </w:pPr>
            <w:r>
              <w:rPr>
                <w:color w:val="000000"/>
                <w:sz w:val="18"/>
                <w:szCs w:val="18"/>
              </w:rPr>
              <w:t>75.1 to 137.2</w:t>
            </w:r>
          </w:p>
        </w:tc>
      </w:tr>
      <w:tr w:rsidR="009060B1" w:rsidRPr="00A24735" w14:paraId="226DF175" w14:textId="77777777" w:rsidTr="009060B1">
        <w:trPr>
          <w:trHeight w:val="387"/>
        </w:trPr>
        <w:tc>
          <w:tcPr>
            <w:tcW w:w="1890" w:type="dxa"/>
            <w:vAlign w:val="center"/>
            <w:hideMark/>
          </w:tcPr>
          <w:p w14:paraId="445D4E49" w14:textId="77777777" w:rsidR="00A24735" w:rsidRPr="00A24735" w:rsidRDefault="00A24735" w:rsidP="0049032B">
            <w:pPr>
              <w:ind w:left="154" w:hanging="154"/>
              <w:rPr>
                <w:sz w:val="18"/>
                <w:szCs w:val="18"/>
              </w:rPr>
            </w:pPr>
            <w:r w:rsidRPr="00A24735">
              <w:rPr>
                <w:sz w:val="18"/>
                <w:szCs w:val="18"/>
              </w:rPr>
              <w:t>Absolute VO</w:t>
            </w:r>
            <w:r w:rsidRPr="00A24735">
              <w:rPr>
                <w:sz w:val="18"/>
                <w:szCs w:val="18"/>
                <w:vertAlign w:val="subscript"/>
              </w:rPr>
              <w:t>2</w:t>
            </w:r>
            <w:r w:rsidRPr="00A24735">
              <w:rPr>
                <w:sz w:val="18"/>
                <w:szCs w:val="18"/>
              </w:rPr>
              <w:t>max (L/min)</w:t>
            </w:r>
          </w:p>
        </w:tc>
        <w:tc>
          <w:tcPr>
            <w:tcW w:w="1260" w:type="dxa"/>
            <w:vAlign w:val="center"/>
          </w:tcPr>
          <w:p w14:paraId="4A911C9D" w14:textId="307BF1FA" w:rsidR="00A24735" w:rsidRPr="00A24735" w:rsidRDefault="00BA562F" w:rsidP="0049032B">
            <w:pPr>
              <w:jc w:val="center"/>
              <w:rPr>
                <w:sz w:val="18"/>
                <w:szCs w:val="18"/>
              </w:rPr>
            </w:pPr>
            <w:r>
              <w:rPr>
                <w:sz w:val="18"/>
                <w:szCs w:val="18"/>
              </w:rPr>
              <w:t>1.03 to 1.89</w:t>
            </w:r>
          </w:p>
        </w:tc>
        <w:tc>
          <w:tcPr>
            <w:tcW w:w="1260" w:type="dxa"/>
            <w:vAlign w:val="center"/>
          </w:tcPr>
          <w:p w14:paraId="3C038190" w14:textId="20E0E80E" w:rsidR="00A24735" w:rsidRPr="00A24735" w:rsidRDefault="00BA562F" w:rsidP="0049032B">
            <w:pPr>
              <w:jc w:val="center"/>
              <w:rPr>
                <w:sz w:val="18"/>
                <w:szCs w:val="18"/>
              </w:rPr>
            </w:pPr>
            <w:r>
              <w:rPr>
                <w:sz w:val="18"/>
                <w:szCs w:val="18"/>
              </w:rPr>
              <w:t>1.28 to 1.94</w:t>
            </w:r>
          </w:p>
        </w:tc>
        <w:tc>
          <w:tcPr>
            <w:tcW w:w="270" w:type="dxa"/>
            <w:vAlign w:val="center"/>
          </w:tcPr>
          <w:p w14:paraId="6D8E3293" w14:textId="77777777" w:rsidR="00A24735" w:rsidRPr="00A24735" w:rsidRDefault="00A24735" w:rsidP="0049032B">
            <w:pPr>
              <w:jc w:val="center"/>
              <w:rPr>
                <w:sz w:val="18"/>
                <w:szCs w:val="18"/>
              </w:rPr>
            </w:pPr>
          </w:p>
        </w:tc>
        <w:tc>
          <w:tcPr>
            <w:tcW w:w="1260" w:type="dxa"/>
            <w:vAlign w:val="center"/>
          </w:tcPr>
          <w:p w14:paraId="03371343" w14:textId="4393D26C" w:rsidR="00A24735" w:rsidRPr="00A24735" w:rsidRDefault="00BA562F" w:rsidP="0049032B">
            <w:pPr>
              <w:jc w:val="center"/>
              <w:rPr>
                <w:sz w:val="18"/>
                <w:szCs w:val="18"/>
              </w:rPr>
            </w:pPr>
            <w:r>
              <w:rPr>
                <w:sz w:val="18"/>
                <w:szCs w:val="18"/>
              </w:rPr>
              <w:t>0.83 to 2.99</w:t>
            </w:r>
          </w:p>
        </w:tc>
        <w:tc>
          <w:tcPr>
            <w:tcW w:w="1260" w:type="dxa"/>
            <w:vAlign w:val="center"/>
          </w:tcPr>
          <w:p w14:paraId="72EAAD81" w14:textId="44DFFA4A" w:rsidR="00A24735" w:rsidRPr="00A24735" w:rsidRDefault="00BA562F" w:rsidP="0049032B">
            <w:pPr>
              <w:jc w:val="center"/>
              <w:rPr>
                <w:sz w:val="18"/>
                <w:szCs w:val="18"/>
              </w:rPr>
            </w:pPr>
            <w:r>
              <w:rPr>
                <w:color w:val="010205"/>
                <w:sz w:val="18"/>
                <w:szCs w:val="18"/>
              </w:rPr>
              <w:t>0.95 to 3.12</w:t>
            </w:r>
          </w:p>
        </w:tc>
        <w:tc>
          <w:tcPr>
            <w:tcW w:w="270" w:type="dxa"/>
            <w:vAlign w:val="center"/>
          </w:tcPr>
          <w:p w14:paraId="300F2899" w14:textId="77777777" w:rsidR="00A24735" w:rsidRPr="00A24735" w:rsidRDefault="00A24735" w:rsidP="0049032B">
            <w:pPr>
              <w:jc w:val="center"/>
              <w:rPr>
                <w:sz w:val="18"/>
                <w:szCs w:val="18"/>
              </w:rPr>
            </w:pPr>
          </w:p>
        </w:tc>
        <w:tc>
          <w:tcPr>
            <w:tcW w:w="1260" w:type="dxa"/>
            <w:vAlign w:val="center"/>
          </w:tcPr>
          <w:p w14:paraId="5095545E" w14:textId="42598E69" w:rsidR="00A24735" w:rsidRPr="00A24735" w:rsidRDefault="00BA562F" w:rsidP="0049032B">
            <w:pPr>
              <w:jc w:val="center"/>
              <w:rPr>
                <w:sz w:val="18"/>
                <w:szCs w:val="18"/>
              </w:rPr>
            </w:pPr>
            <w:r>
              <w:rPr>
                <w:sz w:val="18"/>
                <w:szCs w:val="18"/>
              </w:rPr>
              <w:t>1.06 to 1.76</w:t>
            </w:r>
          </w:p>
        </w:tc>
        <w:tc>
          <w:tcPr>
            <w:tcW w:w="1260" w:type="dxa"/>
            <w:vAlign w:val="center"/>
          </w:tcPr>
          <w:p w14:paraId="0BD26B60" w14:textId="7A1EB1E4" w:rsidR="00A24735" w:rsidRPr="00A24735" w:rsidRDefault="00BA562F" w:rsidP="0049032B">
            <w:pPr>
              <w:jc w:val="center"/>
              <w:rPr>
                <w:sz w:val="18"/>
                <w:szCs w:val="18"/>
              </w:rPr>
            </w:pPr>
            <w:r>
              <w:rPr>
                <w:color w:val="010205"/>
                <w:sz w:val="18"/>
                <w:szCs w:val="18"/>
              </w:rPr>
              <w:t>1.14 to 1.96</w:t>
            </w:r>
          </w:p>
        </w:tc>
      </w:tr>
      <w:tr w:rsidR="009060B1" w:rsidRPr="00A24735" w14:paraId="30853F77" w14:textId="77777777" w:rsidTr="009060B1">
        <w:trPr>
          <w:trHeight w:val="387"/>
        </w:trPr>
        <w:tc>
          <w:tcPr>
            <w:tcW w:w="1890" w:type="dxa"/>
            <w:vAlign w:val="center"/>
          </w:tcPr>
          <w:p w14:paraId="6ED4D617" w14:textId="77777777" w:rsidR="00A24735" w:rsidRPr="00A24735" w:rsidRDefault="00A24735" w:rsidP="0049032B">
            <w:pPr>
              <w:ind w:left="154" w:hanging="154"/>
              <w:rPr>
                <w:sz w:val="18"/>
                <w:szCs w:val="18"/>
              </w:rPr>
            </w:pPr>
            <w:r w:rsidRPr="00A24735">
              <w:rPr>
                <w:sz w:val="18"/>
                <w:szCs w:val="18"/>
              </w:rPr>
              <w:t>Relative VO</w:t>
            </w:r>
            <w:r w:rsidRPr="00A24735">
              <w:rPr>
                <w:sz w:val="18"/>
                <w:szCs w:val="18"/>
                <w:vertAlign w:val="subscript"/>
              </w:rPr>
              <w:t>2</w:t>
            </w:r>
            <w:r w:rsidRPr="00A24735">
              <w:rPr>
                <w:sz w:val="18"/>
                <w:szCs w:val="18"/>
              </w:rPr>
              <w:t>max (mL/kg/min)</w:t>
            </w:r>
          </w:p>
        </w:tc>
        <w:tc>
          <w:tcPr>
            <w:tcW w:w="1260" w:type="dxa"/>
            <w:vAlign w:val="center"/>
          </w:tcPr>
          <w:p w14:paraId="76262038" w14:textId="0E77F945" w:rsidR="00A24735" w:rsidRPr="00A24735" w:rsidRDefault="00BA562F" w:rsidP="0049032B">
            <w:pPr>
              <w:jc w:val="center"/>
              <w:rPr>
                <w:sz w:val="18"/>
                <w:szCs w:val="18"/>
              </w:rPr>
            </w:pPr>
            <w:r>
              <w:rPr>
                <w:sz w:val="18"/>
                <w:szCs w:val="18"/>
              </w:rPr>
              <w:t>17.4 to 21.4</w:t>
            </w:r>
          </w:p>
        </w:tc>
        <w:tc>
          <w:tcPr>
            <w:tcW w:w="1260" w:type="dxa"/>
            <w:vAlign w:val="center"/>
          </w:tcPr>
          <w:p w14:paraId="2FAF0BE4" w14:textId="519D89D3" w:rsidR="00A24735" w:rsidRPr="00A24735" w:rsidRDefault="00BA562F" w:rsidP="0049032B">
            <w:pPr>
              <w:jc w:val="center"/>
              <w:rPr>
                <w:sz w:val="18"/>
                <w:szCs w:val="18"/>
              </w:rPr>
            </w:pPr>
            <w:r>
              <w:rPr>
                <w:sz w:val="18"/>
                <w:szCs w:val="18"/>
              </w:rPr>
              <w:t>17.7 to 25.7</w:t>
            </w:r>
          </w:p>
        </w:tc>
        <w:tc>
          <w:tcPr>
            <w:tcW w:w="270" w:type="dxa"/>
            <w:vAlign w:val="center"/>
          </w:tcPr>
          <w:p w14:paraId="6967F3EE" w14:textId="77777777" w:rsidR="00A24735" w:rsidRPr="00A24735" w:rsidRDefault="00A24735" w:rsidP="0049032B">
            <w:pPr>
              <w:jc w:val="center"/>
              <w:rPr>
                <w:sz w:val="18"/>
                <w:szCs w:val="18"/>
              </w:rPr>
            </w:pPr>
          </w:p>
        </w:tc>
        <w:tc>
          <w:tcPr>
            <w:tcW w:w="1260" w:type="dxa"/>
            <w:vAlign w:val="center"/>
          </w:tcPr>
          <w:p w14:paraId="5405E3F3" w14:textId="64DED80C" w:rsidR="00A24735" w:rsidRPr="00A24735" w:rsidRDefault="00BA562F" w:rsidP="0049032B">
            <w:pPr>
              <w:jc w:val="center"/>
              <w:rPr>
                <w:sz w:val="18"/>
                <w:szCs w:val="18"/>
              </w:rPr>
            </w:pPr>
            <w:r>
              <w:rPr>
                <w:sz w:val="18"/>
                <w:szCs w:val="18"/>
              </w:rPr>
              <w:t>17.3 to 27.3</w:t>
            </w:r>
          </w:p>
        </w:tc>
        <w:tc>
          <w:tcPr>
            <w:tcW w:w="1260" w:type="dxa"/>
            <w:vAlign w:val="center"/>
          </w:tcPr>
          <w:p w14:paraId="0106D01A" w14:textId="1D376A86" w:rsidR="00A24735" w:rsidRPr="00A24735" w:rsidRDefault="00BA562F" w:rsidP="0049032B">
            <w:pPr>
              <w:jc w:val="center"/>
              <w:rPr>
                <w:sz w:val="18"/>
                <w:szCs w:val="18"/>
              </w:rPr>
            </w:pPr>
            <w:r>
              <w:rPr>
                <w:sz w:val="18"/>
                <w:szCs w:val="18"/>
              </w:rPr>
              <w:t>14.7 to 33.3</w:t>
            </w:r>
          </w:p>
        </w:tc>
        <w:tc>
          <w:tcPr>
            <w:tcW w:w="270" w:type="dxa"/>
            <w:vAlign w:val="center"/>
          </w:tcPr>
          <w:p w14:paraId="7D6A1B5B" w14:textId="77777777" w:rsidR="00A24735" w:rsidRPr="00A24735" w:rsidRDefault="00A24735" w:rsidP="0049032B">
            <w:pPr>
              <w:jc w:val="center"/>
              <w:rPr>
                <w:sz w:val="18"/>
                <w:szCs w:val="18"/>
              </w:rPr>
            </w:pPr>
          </w:p>
        </w:tc>
        <w:tc>
          <w:tcPr>
            <w:tcW w:w="1260" w:type="dxa"/>
            <w:vAlign w:val="center"/>
          </w:tcPr>
          <w:p w14:paraId="6AA86ED0" w14:textId="58CE302B" w:rsidR="00A24735" w:rsidRPr="00A24735" w:rsidRDefault="00BA562F" w:rsidP="0049032B">
            <w:pPr>
              <w:jc w:val="center"/>
              <w:rPr>
                <w:sz w:val="18"/>
                <w:szCs w:val="18"/>
              </w:rPr>
            </w:pPr>
            <w:r>
              <w:rPr>
                <w:sz w:val="18"/>
                <w:szCs w:val="18"/>
              </w:rPr>
              <w:t>16.3 to 23.1</w:t>
            </w:r>
          </w:p>
        </w:tc>
        <w:tc>
          <w:tcPr>
            <w:tcW w:w="1260" w:type="dxa"/>
            <w:vAlign w:val="center"/>
          </w:tcPr>
          <w:p w14:paraId="5AB01793" w14:textId="3AA8E03A" w:rsidR="00A24735" w:rsidRPr="00A24735" w:rsidRDefault="00BA562F" w:rsidP="0049032B">
            <w:pPr>
              <w:jc w:val="center"/>
              <w:rPr>
                <w:sz w:val="18"/>
                <w:szCs w:val="18"/>
              </w:rPr>
            </w:pPr>
            <w:r>
              <w:rPr>
                <w:sz w:val="18"/>
                <w:szCs w:val="18"/>
              </w:rPr>
              <w:t>17.0 to 27.3</w:t>
            </w:r>
          </w:p>
        </w:tc>
      </w:tr>
      <w:tr w:rsidR="009060B1" w:rsidRPr="00A24735" w14:paraId="541DA76D" w14:textId="77777777" w:rsidTr="009060B1">
        <w:trPr>
          <w:trHeight w:val="387"/>
        </w:trPr>
        <w:tc>
          <w:tcPr>
            <w:tcW w:w="1890" w:type="dxa"/>
            <w:vAlign w:val="center"/>
            <w:hideMark/>
          </w:tcPr>
          <w:p w14:paraId="02E082A3" w14:textId="77777777" w:rsidR="00A24735" w:rsidRPr="00A24735" w:rsidRDefault="00A24735" w:rsidP="0049032B">
            <w:pPr>
              <w:rPr>
                <w:sz w:val="18"/>
                <w:szCs w:val="18"/>
              </w:rPr>
            </w:pPr>
            <w:r w:rsidRPr="00A24735">
              <w:rPr>
                <w:sz w:val="18"/>
                <w:szCs w:val="18"/>
              </w:rPr>
              <w:t>Muscle Volume (cm</w:t>
            </w:r>
            <w:r w:rsidRPr="00A24735">
              <w:rPr>
                <w:sz w:val="18"/>
                <w:szCs w:val="18"/>
                <w:vertAlign w:val="superscript"/>
              </w:rPr>
              <w:t>3</w:t>
            </w:r>
            <w:r w:rsidRPr="00A24735">
              <w:rPr>
                <w:sz w:val="18"/>
                <w:szCs w:val="18"/>
              </w:rPr>
              <w:t>)</w:t>
            </w:r>
          </w:p>
        </w:tc>
        <w:tc>
          <w:tcPr>
            <w:tcW w:w="1260" w:type="dxa"/>
            <w:vAlign w:val="center"/>
          </w:tcPr>
          <w:p w14:paraId="7A0068D9" w14:textId="1A19D935" w:rsidR="00A24735" w:rsidRPr="00A24735" w:rsidRDefault="00BA562F" w:rsidP="0049032B">
            <w:pPr>
              <w:jc w:val="center"/>
              <w:rPr>
                <w:sz w:val="18"/>
                <w:szCs w:val="18"/>
              </w:rPr>
            </w:pPr>
            <w:r>
              <w:rPr>
                <w:sz w:val="18"/>
                <w:szCs w:val="18"/>
              </w:rPr>
              <w:t xml:space="preserve">309.0 to </w:t>
            </w:r>
            <w:r w:rsidR="00D016F2">
              <w:rPr>
                <w:sz w:val="18"/>
                <w:szCs w:val="18"/>
              </w:rPr>
              <w:t>513.7</w:t>
            </w:r>
          </w:p>
        </w:tc>
        <w:tc>
          <w:tcPr>
            <w:tcW w:w="1260" w:type="dxa"/>
            <w:vAlign w:val="center"/>
          </w:tcPr>
          <w:p w14:paraId="7CC35187" w14:textId="32E16EC1" w:rsidR="00A24735" w:rsidRPr="00A24735" w:rsidRDefault="00D016F2" w:rsidP="0049032B">
            <w:pPr>
              <w:jc w:val="center"/>
              <w:rPr>
                <w:sz w:val="18"/>
                <w:szCs w:val="18"/>
              </w:rPr>
            </w:pPr>
            <w:r>
              <w:rPr>
                <w:sz w:val="18"/>
                <w:szCs w:val="18"/>
              </w:rPr>
              <w:t>322.0 to 536.3</w:t>
            </w:r>
          </w:p>
        </w:tc>
        <w:tc>
          <w:tcPr>
            <w:tcW w:w="270" w:type="dxa"/>
            <w:vAlign w:val="center"/>
          </w:tcPr>
          <w:p w14:paraId="6C1BB32F" w14:textId="77777777" w:rsidR="00A24735" w:rsidRPr="00A24735" w:rsidRDefault="00A24735" w:rsidP="0049032B">
            <w:pPr>
              <w:jc w:val="center"/>
              <w:rPr>
                <w:sz w:val="18"/>
                <w:szCs w:val="18"/>
              </w:rPr>
            </w:pPr>
          </w:p>
        </w:tc>
        <w:tc>
          <w:tcPr>
            <w:tcW w:w="1260" w:type="dxa"/>
            <w:vAlign w:val="center"/>
          </w:tcPr>
          <w:p w14:paraId="7DB5F7C0" w14:textId="032B0528" w:rsidR="00A24735" w:rsidRPr="00A24735" w:rsidRDefault="00D016F2" w:rsidP="0049032B">
            <w:pPr>
              <w:jc w:val="center"/>
              <w:rPr>
                <w:sz w:val="18"/>
                <w:szCs w:val="18"/>
              </w:rPr>
            </w:pPr>
            <w:r>
              <w:rPr>
                <w:sz w:val="18"/>
                <w:szCs w:val="18"/>
              </w:rPr>
              <w:t>122.7 to 741.8</w:t>
            </w:r>
          </w:p>
        </w:tc>
        <w:tc>
          <w:tcPr>
            <w:tcW w:w="1260" w:type="dxa"/>
            <w:vAlign w:val="center"/>
          </w:tcPr>
          <w:p w14:paraId="48EE6D52" w14:textId="057FF611" w:rsidR="00A24735" w:rsidRPr="00A24735" w:rsidRDefault="00D016F2" w:rsidP="0049032B">
            <w:pPr>
              <w:jc w:val="center"/>
              <w:rPr>
                <w:sz w:val="18"/>
                <w:szCs w:val="18"/>
              </w:rPr>
            </w:pPr>
            <w:r>
              <w:rPr>
                <w:color w:val="010205"/>
                <w:sz w:val="18"/>
                <w:szCs w:val="18"/>
              </w:rPr>
              <w:t>172.9 to 784.9</w:t>
            </w:r>
          </w:p>
        </w:tc>
        <w:tc>
          <w:tcPr>
            <w:tcW w:w="270" w:type="dxa"/>
            <w:vAlign w:val="center"/>
          </w:tcPr>
          <w:p w14:paraId="7DE4C444" w14:textId="77777777" w:rsidR="00A24735" w:rsidRPr="00A24735" w:rsidRDefault="00A24735" w:rsidP="0049032B">
            <w:pPr>
              <w:jc w:val="center"/>
              <w:rPr>
                <w:sz w:val="18"/>
                <w:szCs w:val="18"/>
              </w:rPr>
            </w:pPr>
          </w:p>
        </w:tc>
        <w:tc>
          <w:tcPr>
            <w:tcW w:w="1260" w:type="dxa"/>
            <w:vAlign w:val="center"/>
          </w:tcPr>
          <w:p w14:paraId="4C4A70F8" w14:textId="29DF67B1" w:rsidR="00A24735" w:rsidRPr="00A24735" w:rsidRDefault="00D016F2" w:rsidP="0049032B">
            <w:pPr>
              <w:jc w:val="center"/>
              <w:rPr>
                <w:sz w:val="18"/>
                <w:szCs w:val="18"/>
              </w:rPr>
            </w:pPr>
            <w:r>
              <w:rPr>
                <w:sz w:val="18"/>
                <w:szCs w:val="18"/>
              </w:rPr>
              <w:t>315.3 to 536.4</w:t>
            </w:r>
          </w:p>
        </w:tc>
        <w:tc>
          <w:tcPr>
            <w:tcW w:w="1260" w:type="dxa"/>
            <w:vAlign w:val="center"/>
          </w:tcPr>
          <w:p w14:paraId="5EDCB521" w14:textId="34CEB25A" w:rsidR="00A24735" w:rsidRPr="00A24735" w:rsidRDefault="00D016F2" w:rsidP="0049032B">
            <w:pPr>
              <w:jc w:val="center"/>
              <w:rPr>
                <w:sz w:val="18"/>
                <w:szCs w:val="18"/>
              </w:rPr>
            </w:pPr>
            <w:r>
              <w:rPr>
                <w:color w:val="010205"/>
                <w:sz w:val="18"/>
                <w:szCs w:val="18"/>
              </w:rPr>
              <w:t>324.1 to 589.7</w:t>
            </w:r>
          </w:p>
        </w:tc>
      </w:tr>
      <w:tr w:rsidR="009060B1" w:rsidRPr="00A24735" w14:paraId="6F83B6F8" w14:textId="77777777" w:rsidTr="009060B1">
        <w:trPr>
          <w:trHeight w:val="387"/>
        </w:trPr>
        <w:tc>
          <w:tcPr>
            <w:tcW w:w="1890" w:type="dxa"/>
            <w:vAlign w:val="center"/>
            <w:hideMark/>
          </w:tcPr>
          <w:p w14:paraId="10ACE4C8" w14:textId="1DB24D09" w:rsidR="00A24735" w:rsidRPr="00A24735" w:rsidRDefault="00913E38" w:rsidP="0049032B">
            <w:pPr>
              <w:rPr>
                <w:sz w:val="18"/>
                <w:szCs w:val="18"/>
              </w:rPr>
            </w:pPr>
            <w:r>
              <w:rPr>
                <w:sz w:val="18"/>
                <w:szCs w:val="18"/>
              </w:rPr>
              <w:t>Isom.</w:t>
            </w:r>
            <w:r w:rsidR="00A24735" w:rsidRPr="00A24735">
              <w:rPr>
                <w:sz w:val="18"/>
                <w:szCs w:val="18"/>
              </w:rPr>
              <w:t xml:space="preserve"> Strength (N-m)</w:t>
            </w:r>
          </w:p>
        </w:tc>
        <w:tc>
          <w:tcPr>
            <w:tcW w:w="1260" w:type="dxa"/>
            <w:vAlign w:val="center"/>
          </w:tcPr>
          <w:p w14:paraId="53D17A83" w14:textId="17FB749A" w:rsidR="00A24735" w:rsidRPr="00A24735" w:rsidRDefault="00D016F2" w:rsidP="0049032B">
            <w:pPr>
              <w:jc w:val="center"/>
              <w:rPr>
                <w:sz w:val="18"/>
                <w:szCs w:val="18"/>
              </w:rPr>
            </w:pPr>
            <w:r>
              <w:rPr>
                <w:sz w:val="18"/>
                <w:szCs w:val="18"/>
              </w:rPr>
              <w:t>73.3 to 187.1</w:t>
            </w:r>
          </w:p>
        </w:tc>
        <w:tc>
          <w:tcPr>
            <w:tcW w:w="1260" w:type="dxa"/>
            <w:vAlign w:val="center"/>
          </w:tcPr>
          <w:p w14:paraId="2655D3BA" w14:textId="3B2E0817" w:rsidR="00A24735" w:rsidRPr="00A24735" w:rsidRDefault="00D016F2" w:rsidP="0049032B">
            <w:pPr>
              <w:jc w:val="center"/>
              <w:rPr>
                <w:sz w:val="18"/>
                <w:szCs w:val="18"/>
              </w:rPr>
            </w:pPr>
            <w:r>
              <w:rPr>
                <w:sz w:val="18"/>
                <w:szCs w:val="18"/>
              </w:rPr>
              <w:t>82.4 to 163.3</w:t>
            </w:r>
          </w:p>
        </w:tc>
        <w:tc>
          <w:tcPr>
            <w:tcW w:w="270" w:type="dxa"/>
            <w:vAlign w:val="center"/>
          </w:tcPr>
          <w:p w14:paraId="45A83BC5" w14:textId="77777777" w:rsidR="00A24735" w:rsidRPr="00A24735" w:rsidRDefault="00A24735" w:rsidP="0049032B">
            <w:pPr>
              <w:jc w:val="center"/>
              <w:rPr>
                <w:sz w:val="18"/>
                <w:szCs w:val="18"/>
              </w:rPr>
            </w:pPr>
          </w:p>
        </w:tc>
        <w:tc>
          <w:tcPr>
            <w:tcW w:w="1260" w:type="dxa"/>
            <w:vAlign w:val="center"/>
          </w:tcPr>
          <w:p w14:paraId="6209CD0E" w14:textId="539EAFEF" w:rsidR="00A24735" w:rsidRPr="00A24735" w:rsidRDefault="00D016F2" w:rsidP="0049032B">
            <w:pPr>
              <w:jc w:val="center"/>
              <w:rPr>
                <w:sz w:val="18"/>
                <w:szCs w:val="18"/>
              </w:rPr>
            </w:pPr>
            <w:r>
              <w:rPr>
                <w:sz w:val="18"/>
                <w:szCs w:val="18"/>
              </w:rPr>
              <w:t>36.6 to 223.0</w:t>
            </w:r>
          </w:p>
        </w:tc>
        <w:tc>
          <w:tcPr>
            <w:tcW w:w="1260" w:type="dxa"/>
            <w:vAlign w:val="center"/>
          </w:tcPr>
          <w:p w14:paraId="2D0C7FC8" w14:textId="484E3A28" w:rsidR="00A24735" w:rsidRPr="00A24735" w:rsidRDefault="00D016F2" w:rsidP="0049032B">
            <w:pPr>
              <w:jc w:val="center"/>
              <w:rPr>
                <w:sz w:val="18"/>
                <w:szCs w:val="18"/>
              </w:rPr>
            </w:pPr>
            <w:r>
              <w:rPr>
                <w:color w:val="000000"/>
                <w:sz w:val="18"/>
                <w:szCs w:val="18"/>
              </w:rPr>
              <w:t>45.1 to 208.9</w:t>
            </w:r>
          </w:p>
        </w:tc>
        <w:tc>
          <w:tcPr>
            <w:tcW w:w="270" w:type="dxa"/>
            <w:vAlign w:val="center"/>
          </w:tcPr>
          <w:p w14:paraId="538EF27F" w14:textId="77777777" w:rsidR="00A24735" w:rsidRPr="00A24735" w:rsidRDefault="00A24735" w:rsidP="0049032B">
            <w:pPr>
              <w:jc w:val="center"/>
              <w:rPr>
                <w:sz w:val="18"/>
                <w:szCs w:val="18"/>
              </w:rPr>
            </w:pPr>
          </w:p>
        </w:tc>
        <w:tc>
          <w:tcPr>
            <w:tcW w:w="1260" w:type="dxa"/>
            <w:vAlign w:val="center"/>
          </w:tcPr>
          <w:p w14:paraId="2DF9DFFC" w14:textId="41EBC0BC" w:rsidR="00A24735" w:rsidRPr="00A24735" w:rsidRDefault="00D016F2" w:rsidP="0049032B">
            <w:pPr>
              <w:jc w:val="center"/>
              <w:rPr>
                <w:sz w:val="18"/>
                <w:szCs w:val="18"/>
              </w:rPr>
            </w:pPr>
            <w:r>
              <w:rPr>
                <w:sz w:val="18"/>
                <w:szCs w:val="18"/>
              </w:rPr>
              <w:t>89.2 to 146.5</w:t>
            </w:r>
          </w:p>
        </w:tc>
        <w:tc>
          <w:tcPr>
            <w:tcW w:w="1260" w:type="dxa"/>
            <w:vAlign w:val="center"/>
          </w:tcPr>
          <w:p w14:paraId="661284F6" w14:textId="5648A5E9" w:rsidR="00A24735" w:rsidRPr="00A24735" w:rsidRDefault="00D016F2" w:rsidP="0049032B">
            <w:pPr>
              <w:jc w:val="center"/>
              <w:rPr>
                <w:sz w:val="18"/>
                <w:szCs w:val="18"/>
              </w:rPr>
            </w:pPr>
            <w:r>
              <w:rPr>
                <w:color w:val="000000"/>
                <w:sz w:val="18"/>
                <w:szCs w:val="18"/>
              </w:rPr>
              <w:t>108.5 to 189.0</w:t>
            </w:r>
          </w:p>
        </w:tc>
      </w:tr>
      <w:tr w:rsidR="009060B1" w:rsidRPr="00A24735" w14:paraId="23FA71F9" w14:textId="77777777" w:rsidTr="009060B1">
        <w:trPr>
          <w:trHeight w:val="608"/>
        </w:trPr>
        <w:tc>
          <w:tcPr>
            <w:tcW w:w="1890" w:type="dxa"/>
            <w:vAlign w:val="center"/>
            <w:hideMark/>
          </w:tcPr>
          <w:p w14:paraId="2B0F2DA0" w14:textId="11AE4CF3" w:rsidR="00A24735" w:rsidRPr="00A24735" w:rsidRDefault="00A24735" w:rsidP="0049032B">
            <w:pPr>
              <w:ind w:left="154" w:hanging="154"/>
              <w:rPr>
                <w:sz w:val="18"/>
                <w:szCs w:val="18"/>
              </w:rPr>
            </w:pPr>
            <w:r w:rsidRPr="00A24735">
              <w:rPr>
                <w:sz w:val="18"/>
                <w:szCs w:val="18"/>
              </w:rPr>
              <w:t>Fatigue Resistance (% of maximal)</w:t>
            </w:r>
          </w:p>
        </w:tc>
        <w:tc>
          <w:tcPr>
            <w:tcW w:w="1260" w:type="dxa"/>
            <w:vAlign w:val="center"/>
          </w:tcPr>
          <w:p w14:paraId="00560B66" w14:textId="4B0BDB1E" w:rsidR="00A24735" w:rsidRPr="00A24735" w:rsidRDefault="00D016F2" w:rsidP="0049032B">
            <w:pPr>
              <w:jc w:val="center"/>
              <w:rPr>
                <w:sz w:val="18"/>
                <w:szCs w:val="18"/>
              </w:rPr>
            </w:pPr>
            <w:r>
              <w:rPr>
                <w:sz w:val="18"/>
                <w:szCs w:val="18"/>
              </w:rPr>
              <w:t>36.0 to 60.0</w:t>
            </w:r>
          </w:p>
        </w:tc>
        <w:tc>
          <w:tcPr>
            <w:tcW w:w="1260" w:type="dxa"/>
            <w:vAlign w:val="center"/>
          </w:tcPr>
          <w:p w14:paraId="00000B58" w14:textId="32F4E81E" w:rsidR="00A24735" w:rsidRPr="00A24735" w:rsidRDefault="00D016F2" w:rsidP="0049032B">
            <w:pPr>
              <w:jc w:val="center"/>
              <w:rPr>
                <w:sz w:val="18"/>
                <w:szCs w:val="18"/>
              </w:rPr>
            </w:pPr>
            <w:r>
              <w:rPr>
                <w:sz w:val="18"/>
                <w:szCs w:val="18"/>
              </w:rPr>
              <w:t>51.4 to 63.8</w:t>
            </w:r>
          </w:p>
        </w:tc>
        <w:tc>
          <w:tcPr>
            <w:tcW w:w="270" w:type="dxa"/>
            <w:vAlign w:val="center"/>
          </w:tcPr>
          <w:p w14:paraId="1CBFE6CB" w14:textId="77777777" w:rsidR="00A24735" w:rsidRPr="00A24735" w:rsidRDefault="00A24735" w:rsidP="0049032B">
            <w:pPr>
              <w:jc w:val="center"/>
              <w:rPr>
                <w:sz w:val="18"/>
                <w:szCs w:val="18"/>
              </w:rPr>
            </w:pPr>
          </w:p>
        </w:tc>
        <w:tc>
          <w:tcPr>
            <w:tcW w:w="1260" w:type="dxa"/>
            <w:vAlign w:val="center"/>
          </w:tcPr>
          <w:p w14:paraId="0905C7F6" w14:textId="7A08A9AE" w:rsidR="00A24735" w:rsidRPr="00A24735" w:rsidRDefault="00D016F2" w:rsidP="0049032B">
            <w:pPr>
              <w:jc w:val="center"/>
              <w:rPr>
                <w:sz w:val="18"/>
                <w:szCs w:val="18"/>
              </w:rPr>
            </w:pPr>
            <w:r>
              <w:rPr>
                <w:sz w:val="18"/>
                <w:szCs w:val="18"/>
              </w:rPr>
              <w:t>30.5 to 56.0</w:t>
            </w:r>
          </w:p>
        </w:tc>
        <w:tc>
          <w:tcPr>
            <w:tcW w:w="1260" w:type="dxa"/>
            <w:vAlign w:val="center"/>
          </w:tcPr>
          <w:p w14:paraId="3DD4EDE7" w14:textId="347F5FB4" w:rsidR="00A24735" w:rsidRPr="00A24735" w:rsidRDefault="00D016F2" w:rsidP="0049032B">
            <w:pPr>
              <w:jc w:val="center"/>
              <w:rPr>
                <w:sz w:val="18"/>
                <w:szCs w:val="18"/>
              </w:rPr>
            </w:pPr>
            <w:r>
              <w:rPr>
                <w:sz w:val="18"/>
                <w:szCs w:val="18"/>
              </w:rPr>
              <w:t>34.5 to 73.5</w:t>
            </w:r>
          </w:p>
        </w:tc>
        <w:tc>
          <w:tcPr>
            <w:tcW w:w="270" w:type="dxa"/>
            <w:vAlign w:val="center"/>
          </w:tcPr>
          <w:p w14:paraId="2CB77FF9" w14:textId="77777777" w:rsidR="00A24735" w:rsidRPr="00A24735" w:rsidRDefault="00A24735" w:rsidP="0049032B">
            <w:pPr>
              <w:jc w:val="center"/>
              <w:rPr>
                <w:sz w:val="18"/>
                <w:szCs w:val="18"/>
              </w:rPr>
            </w:pPr>
          </w:p>
        </w:tc>
        <w:tc>
          <w:tcPr>
            <w:tcW w:w="1260" w:type="dxa"/>
            <w:vAlign w:val="center"/>
          </w:tcPr>
          <w:p w14:paraId="16B5511F" w14:textId="4DEF07FA" w:rsidR="00A24735" w:rsidRPr="00A24735" w:rsidRDefault="00D016F2" w:rsidP="0049032B">
            <w:pPr>
              <w:jc w:val="center"/>
              <w:rPr>
                <w:sz w:val="18"/>
                <w:szCs w:val="18"/>
              </w:rPr>
            </w:pPr>
            <w:r>
              <w:rPr>
                <w:sz w:val="18"/>
                <w:szCs w:val="18"/>
              </w:rPr>
              <w:t>36.9 to 63.1</w:t>
            </w:r>
          </w:p>
        </w:tc>
        <w:tc>
          <w:tcPr>
            <w:tcW w:w="1260" w:type="dxa"/>
            <w:vAlign w:val="center"/>
          </w:tcPr>
          <w:p w14:paraId="44F5C7B0" w14:textId="1C05E23C" w:rsidR="00A24735" w:rsidRPr="00A24735" w:rsidRDefault="00D016F2" w:rsidP="0049032B">
            <w:pPr>
              <w:jc w:val="center"/>
              <w:rPr>
                <w:sz w:val="18"/>
                <w:szCs w:val="18"/>
              </w:rPr>
            </w:pPr>
            <w:r>
              <w:rPr>
                <w:color w:val="010205"/>
                <w:sz w:val="18"/>
                <w:szCs w:val="18"/>
              </w:rPr>
              <w:t>37.0 to 74.2</w:t>
            </w:r>
          </w:p>
        </w:tc>
      </w:tr>
      <w:tr w:rsidR="009060B1" w:rsidRPr="00A24735" w14:paraId="1C29887E" w14:textId="77777777" w:rsidTr="009060B1">
        <w:trPr>
          <w:trHeight w:val="387"/>
        </w:trPr>
        <w:tc>
          <w:tcPr>
            <w:tcW w:w="1890" w:type="dxa"/>
            <w:vAlign w:val="center"/>
          </w:tcPr>
          <w:p w14:paraId="59F3186D" w14:textId="77777777" w:rsidR="00A24735" w:rsidRPr="00A24735" w:rsidRDefault="00A24735" w:rsidP="0049032B">
            <w:pPr>
              <w:rPr>
                <w:sz w:val="18"/>
                <w:szCs w:val="18"/>
              </w:rPr>
            </w:pPr>
            <w:r w:rsidRPr="00A24735">
              <w:rPr>
                <w:sz w:val="18"/>
                <w:szCs w:val="18"/>
              </w:rPr>
              <w:t>Fat Mass (kg)</w:t>
            </w:r>
          </w:p>
        </w:tc>
        <w:tc>
          <w:tcPr>
            <w:tcW w:w="1260" w:type="dxa"/>
            <w:vAlign w:val="center"/>
          </w:tcPr>
          <w:p w14:paraId="5DFCE590" w14:textId="6656A1CA" w:rsidR="00A24735" w:rsidRPr="00A24735" w:rsidRDefault="00D016F2" w:rsidP="0049032B">
            <w:pPr>
              <w:jc w:val="center"/>
              <w:rPr>
                <w:sz w:val="18"/>
                <w:szCs w:val="18"/>
              </w:rPr>
            </w:pPr>
            <w:r>
              <w:rPr>
                <w:sz w:val="18"/>
                <w:szCs w:val="18"/>
              </w:rPr>
              <w:t>18.8 to 40.4</w:t>
            </w:r>
          </w:p>
        </w:tc>
        <w:tc>
          <w:tcPr>
            <w:tcW w:w="1260" w:type="dxa"/>
            <w:vAlign w:val="center"/>
          </w:tcPr>
          <w:p w14:paraId="49FFA898" w14:textId="0E2FC41F" w:rsidR="00A24735" w:rsidRPr="00A24735" w:rsidRDefault="00D016F2" w:rsidP="0049032B">
            <w:pPr>
              <w:jc w:val="center"/>
              <w:rPr>
                <w:sz w:val="18"/>
                <w:szCs w:val="18"/>
              </w:rPr>
            </w:pPr>
            <w:r>
              <w:rPr>
                <w:sz w:val="18"/>
                <w:szCs w:val="18"/>
              </w:rPr>
              <w:t>19.1 to 39.7</w:t>
            </w:r>
          </w:p>
        </w:tc>
        <w:tc>
          <w:tcPr>
            <w:tcW w:w="270" w:type="dxa"/>
            <w:vAlign w:val="center"/>
          </w:tcPr>
          <w:p w14:paraId="6FF39C8B" w14:textId="77777777" w:rsidR="00A24735" w:rsidRPr="00A24735" w:rsidRDefault="00A24735" w:rsidP="0049032B">
            <w:pPr>
              <w:jc w:val="center"/>
              <w:rPr>
                <w:sz w:val="18"/>
                <w:szCs w:val="18"/>
              </w:rPr>
            </w:pPr>
          </w:p>
        </w:tc>
        <w:tc>
          <w:tcPr>
            <w:tcW w:w="1260" w:type="dxa"/>
            <w:vAlign w:val="center"/>
          </w:tcPr>
          <w:p w14:paraId="6FC96BB7" w14:textId="1BCA2BB1" w:rsidR="00A24735" w:rsidRPr="00A24735" w:rsidRDefault="00D016F2" w:rsidP="0049032B">
            <w:pPr>
              <w:jc w:val="center"/>
              <w:rPr>
                <w:sz w:val="18"/>
                <w:szCs w:val="18"/>
              </w:rPr>
            </w:pPr>
            <w:r>
              <w:rPr>
                <w:sz w:val="18"/>
                <w:szCs w:val="18"/>
              </w:rPr>
              <w:t>10.2 to 52.5</w:t>
            </w:r>
          </w:p>
        </w:tc>
        <w:tc>
          <w:tcPr>
            <w:tcW w:w="1260" w:type="dxa"/>
            <w:vAlign w:val="center"/>
          </w:tcPr>
          <w:p w14:paraId="1D3648FD" w14:textId="1B9BD846" w:rsidR="00A24735" w:rsidRPr="00A24735" w:rsidRDefault="00D016F2" w:rsidP="0049032B">
            <w:pPr>
              <w:jc w:val="center"/>
              <w:rPr>
                <w:sz w:val="18"/>
                <w:szCs w:val="18"/>
              </w:rPr>
            </w:pPr>
            <w:r>
              <w:rPr>
                <w:color w:val="000000"/>
                <w:sz w:val="18"/>
                <w:szCs w:val="18"/>
              </w:rPr>
              <w:t>9.5 to 52.7</w:t>
            </w:r>
          </w:p>
        </w:tc>
        <w:tc>
          <w:tcPr>
            <w:tcW w:w="270" w:type="dxa"/>
            <w:vAlign w:val="center"/>
          </w:tcPr>
          <w:p w14:paraId="469ACEFA" w14:textId="77777777" w:rsidR="00A24735" w:rsidRPr="00A24735" w:rsidRDefault="00A24735" w:rsidP="0049032B">
            <w:pPr>
              <w:jc w:val="center"/>
              <w:rPr>
                <w:sz w:val="18"/>
                <w:szCs w:val="18"/>
              </w:rPr>
            </w:pPr>
          </w:p>
        </w:tc>
        <w:tc>
          <w:tcPr>
            <w:tcW w:w="1260" w:type="dxa"/>
            <w:vAlign w:val="center"/>
          </w:tcPr>
          <w:p w14:paraId="3C032815" w14:textId="6D748259" w:rsidR="00A24735" w:rsidRPr="00A24735" w:rsidRDefault="00D016F2" w:rsidP="0049032B">
            <w:pPr>
              <w:jc w:val="center"/>
              <w:rPr>
                <w:sz w:val="18"/>
                <w:szCs w:val="18"/>
              </w:rPr>
            </w:pPr>
            <w:r>
              <w:rPr>
                <w:sz w:val="18"/>
                <w:szCs w:val="18"/>
              </w:rPr>
              <w:t>16.0 to 35.8</w:t>
            </w:r>
          </w:p>
        </w:tc>
        <w:tc>
          <w:tcPr>
            <w:tcW w:w="1260" w:type="dxa"/>
            <w:vAlign w:val="center"/>
          </w:tcPr>
          <w:p w14:paraId="6025909C" w14:textId="00CCE56A" w:rsidR="00A24735" w:rsidRPr="00A24735" w:rsidRDefault="00D016F2" w:rsidP="0049032B">
            <w:pPr>
              <w:jc w:val="center"/>
              <w:rPr>
                <w:sz w:val="18"/>
                <w:szCs w:val="18"/>
              </w:rPr>
            </w:pPr>
            <w:r>
              <w:rPr>
                <w:color w:val="000000"/>
                <w:sz w:val="18"/>
                <w:szCs w:val="18"/>
              </w:rPr>
              <w:t>15.9 to 33.5</w:t>
            </w:r>
          </w:p>
        </w:tc>
      </w:tr>
      <w:tr w:rsidR="009060B1" w:rsidRPr="00A24735" w14:paraId="6EB6056C" w14:textId="77777777" w:rsidTr="009060B1">
        <w:trPr>
          <w:trHeight w:val="387"/>
        </w:trPr>
        <w:tc>
          <w:tcPr>
            <w:tcW w:w="1890" w:type="dxa"/>
            <w:vAlign w:val="center"/>
          </w:tcPr>
          <w:p w14:paraId="0065F8C2" w14:textId="77777777" w:rsidR="00A24735" w:rsidRPr="00A24735" w:rsidRDefault="00A24735" w:rsidP="0049032B">
            <w:pPr>
              <w:rPr>
                <w:sz w:val="18"/>
                <w:szCs w:val="18"/>
              </w:rPr>
            </w:pPr>
            <w:r w:rsidRPr="00A24735">
              <w:rPr>
                <w:sz w:val="18"/>
                <w:szCs w:val="18"/>
              </w:rPr>
              <w:t>6MW (m)</w:t>
            </w:r>
          </w:p>
        </w:tc>
        <w:tc>
          <w:tcPr>
            <w:tcW w:w="1260" w:type="dxa"/>
            <w:vAlign w:val="center"/>
          </w:tcPr>
          <w:p w14:paraId="6304D9AE" w14:textId="641D06D3" w:rsidR="00A24735" w:rsidRPr="00A24735" w:rsidRDefault="00D016F2" w:rsidP="0049032B">
            <w:pPr>
              <w:jc w:val="center"/>
              <w:rPr>
                <w:sz w:val="18"/>
                <w:szCs w:val="18"/>
              </w:rPr>
            </w:pPr>
            <w:r>
              <w:rPr>
                <w:sz w:val="18"/>
                <w:szCs w:val="18"/>
              </w:rPr>
              <w:t>525.6 to 610.4</w:t>
            </w:r>
          </w:p>
        </w:tc>
        <w:tc>
          <w:tcPr>
            <w:tcW w:w="1260" w:type="dxa"/>
            <w:vAlign w:val="center"/>
          </w:tcPr>
          <w:p w14:paraId="4C1FD2AF" w14:textId="4E60177B" w:rsidR="00A24735" w:rsidRPr="00A24735" w:rsidRDefault="00D016F2" w:rsidP="0049032B">
            <w:pPr>
              <w:jc w:val="center"/>
              <w:rPr>
                <w:sz w:val="18"/>
                <w:szCs w:val="18"/>
              </w:rPr>
            </w:pPr>
            <w:r>
              <w:rPr>
                <w:sz w:val="18"/>
                <w:szCs w:val="18"/>
              </w:rPr>
              <w:t>563.8 to 658.6</w:t>
            </w:r>
          </w:p>
        </w:tc>
        <w:tc>
          <w:tcPr>
            <w:tcW w:w="270" w:type="dxa"/>
            <w:vAlign w:val="center"/>
          </w:tcPr>
          <w:p w14:paraId="7BE27011" w14:textId="77777777" w:rsidR="00A24735" w:rsidRPr="00A24735" w:rsidRDefault="00A24735" w:rsidP="0049032B">
            <w:pPr>
              <w:jc w:val="center"/>
              <w:rPr>
                <w:sz w:val="18"/>
                <w:szCs w:val="18"/>
              </w:rPr>
            </w:pPr>
          </w:p>
        </w:tc>
        <w:tc>
          <w:tcPr>
            <w:tcW w:w="1260" w:type="dxa"/>
            <w:vAlign w:val="center"/>
          </w:tcPr>
          <w:p w14:paraId="38F23CFA" w14:textId="6B16972B" w:rsidR="00A24735" w:rsidRPr="00A24735" w:rsidRDefault="00D016F2" w:rsidP="0049032B">
            <w:pPr>
              <w:jc w:val="center"/>
              <w:rPr>
                <w:sz w:val="18"/>
                <w:szCs w:val="18"/>
              </w:rPr>
            </w:pPr>
            <w:r>
              <w:rPr>
                <w:sz w:val="18"/>
                <w:szCs w:val="18"/>
              </w:rPr>
              <w:t>498.0 to 676.5</w:t>
            </w:r>
          </w:p>
        </w:tc>
        <w:tc>
          <w:tcPr>
            <w:tcW w:w="1260" w:type="dxa"/>
            <w:vAlign w:val="center"/>
          </w:tcPr>
          <w:p w14:paraId="401A25F3" w14:textId="430FC0D3" w:rsidR="00A24735" w:rsidRPr="00A24735" w:rsidRDefault="00D016F2" w:rsidP="0049032B">
            <w:pPr>
              <w:jc w:val="center"/>
              <w:rPr>
                <w:sz w:val="18"/>
                <w:szCs w:val="18"/>
              </w:rPr>
            </w:pPr>
            <w:r>
              <w:rPr>
                <w:color w:val="000000"/>
                <w:sz w:val="18"/>
                <w:szCs w:val="18"/>
              </w:rPr>
              <w:t>504.8 to 696.2</w:t>
            </w:r>
          </w:p>
        </w:tc>
        <w:tc>
          <w:tcPr>
            <w:tcW w:w="270" w:type="dxa"/>
            <w:vAlign w:val="center"/>
          </w:tcPr>
          <w:p w14:paraId="462EC108" w14:textId="77777777" w:rsidR="00A24735" w:rsidRPr="00A24735" w:rsidRDefault="00A24735" w:rsidP="0049032B">
            <w:pPr>
              <w:jc w:val="center"/>
              <w:rPr>
                <w:sz w:val="18"/>
                <w:szCs w:val="18"/>
              </w:rPr>
            </w:pPr>
          </w:p>
        </w:tc>
        <w:tc>
          <w:tcPr>
            <w:tcW w:w="1260" w:type="dxa"/>
            <w:vAlign w:val="center"/>
          </w:tcPr>
          <w:p w14:paraId="0AB01D03" w14:textId="5D590A14" w:rsidR="00A24735" w:rsidRPr="00A24735" w:rsidRDefault="00D016F2" w:rsidP="0049032B">
            <w:pPr>
              <w:jc w:val="center"/>
              <w:rPr>
                <w:sz w:val="18"/>
                <w:szCs w:val="18"/>
              </w:rPr>
            </w:pPr>
            <w:r>
              <w:rPr>
                <w:sz w:val="18"/>
                <w:szCs w:val="18"/>
              </w:rPr>
              <w:t>482.3 to 632.1</w:t>
            </w:r>
          </w:p>
        </w:tc>
        <w:tc>
          <w:tcPr>
            <w:tcW w:w="1260" w:type="dxa"/>
            <w:vAlign w:val="center"/>
          </w:tcPr>
          <w:p w14:paraId="2155AC0C" w14:textId="3882DCA5" w:rsidR="00A24735" w:rsidRPr="00A24735" w:rsidRDefault="00D016F2" w:rsidP="0049032B">
            <w:pPr>
              <w:jc w:val="center"/>
              <w:rPr>
                <w:sz w:val="18"/>
                <w:szCs w:val="18"/>
              </w:rPr>
            </w:pPr>
            <w:r>
              <w:rPr>
                <w:color w:val="000000"/>
                <w:sz w:val="18"/>
                <w:szCs w:val="18"/>
              </w:rPr>
              <w:t>501.5 to 668.5</w:t>
            </w:r>
          </w:p>
        </w:tc>
      </w:tr>
      <w:tr w:rsidR="009060B1" w:rsidRPr="00A24735" w14:paraId="173046E7" w14:textId="77777777" w:rsidTr="009060B1">
        <w:trPr>
          <w:trHeight w:val="387"/>
        </w:trPr>
        <w:tc>
          <w:tcPr>
            <w:tcW w:w="1890" w:type="dxa"/>
            <w:vAlign w:val="center"/>
          </w:tcPr>
          <w:p w14:paraId="57FB01DC" w14:textId="77777777" w:rsidR="00A24735" w:rsidRPr="00A24735" w:rsidRDefault="00A24735" w:rsidP="0049032B">
            <w:pPr>
              <w:rPr>
                <w:sz w:val="18"/>
                <w:szCs w:val="18"/>
              </w:rPr>
            </w:pPr>
            <w:r w:rsidRPr="00A24735">
              <w:rPr>
                <w:sz w:val="18"/>
                <w:szCs w:val="18"/>
              </w:rPr>
              <w:t>4SST (s)</w:t>
            </w:r>
          </w:p>
        </w:tc>
        <w:tc>
          <w:tcPr>
            <w:tcW w:w="1260" w:type="dxa"/>
            <w:vAlign w:val="center"/>
          </w:tcPr>
          <w:p w14:paraId="5383380D" w14:textId="32EDE226" w:rsidR="00A24735" w:rsidRPr="00A24735" w:rsidRDefault="00D016F2" w:rsidP="0049032B">
            <w:pPr>
              <w:jc w:val="center"/>
              <w:rPr>
                <w:sz w:val="18"/>
                <w:szCs w:val="18"/>
              </w:rPr>
            </w:pPr>
            <w:r>
              <w:rPr>
                <w:sz w:val="18"/>
                <w:szCs w:val="18"/>
              </w:rPr>
              <w:t>5.53 to 7.29</w:t>
            </w:r>
          </w:p>
        </w:tc>
        <w:tc>
          <w:tcPr>
            <w:tcW w:w="1260" w:type="dxa"/>
            <w:vAlign w:val="center"/>
          </w:tcPr>
          <w:p w14:paraId="6C0A3079" w14:textId="1DA05058" w:rsidR="00A24735" w:rsidRPr="00A24735" w:rsidRDefault="00D016F2" w:rsidP="0049032B">
            <w:pPr>
              <w:jc w:val="center"/>
              <w:rPr>
                <w:sz w:val="18"/>
                <w:szCs w:val="18"/>
              </w:rPr>
            </w:pPr>
            <w:r>
              <w:rPr>
                <w:sz w:val="18"/>
                <w:szCs w:val="18"/>
              </w:rPr>
              <w:t>5.91 to 6.94</w:t>
            </w:r>
          </w:p>
        </w:tc>
        <w:tc>
          <w:tcPr>
            <w:tcW w:w="270" w:type="dxa"/>
            <w:vAlign w:val="center"/>
          </w:tcPr>
          <w:p w14:paraId="5DF2856C" w14:textId="77777777" w:rsidR="00A24735" w:rsidRPr="00A24735" w:rsidRDefault="00A24735" w:rsidP="0049032B">
            <w:pPr>
              <w:jc w:val="center"/>
              <w:rPr>
                <w:sz w:val="18"/>
                <w:szCs w:val="18"/>
              </w:rPr>
            </w:pPr>
          </w:p>
        </w:tc>
        <w:tc>
          <w:tcPr>
            <w:tcW w:w="1260" w:type="dxa"/>
            <w:vAlign w:val="center"/>
          </w:tcPr>
          <w:p w14:paraId="3BF556A1" w14:textId="2C56EE24" w:rsidR="00A24735" w:rsidRPr="00A24735" w:rsidRDefault="00D016F2" w:rsidP="0049032B">
            <w:pPr>
              <w:jc w:val="center"/>
              <w:rPr>
                <w:sz w:val="18"/>
                <w:szCs w:val="18"/>
              </w:rPr>
            </w:pPr>
            <w:r>
              <w:rPr>
                <w:sz w:val="18"/>
                <w:szCs w:val="18"/>
              </w:rPr>
              <w:t>5.09 to 7.59</w:t>
            </w:r>
          </w:p>
        </w:tc>
        <w:tc>
          <w:tcPr>
            <w:tcW w:w="1260" w:type="dxa"/>
            <w:vAlign w:val="center"/>
          </w:tcPr>
          <w:p w14:paraId="4E092286" w14:textId="7EFDF4CF" w:rsidR="00A24735" w:rsidRPr="00A24735" w:rsidRDefault="00D016F2" w:rsidP="0049032B">
            <w:pPr>
              <w:jc w:val="center"/>
              <w:rPr>
                <w:sz w:val="18"/>
                <w:szCs w:val="18"/>
              </w:rPr>
            </w:pPr>
            <w:r>
              <w:rPr>
                <w:color w:val="010205"/>
                <w:sz w:val="18"/>
                <w:szCs w:val="18"/>
              </w:rPr>
              <w:t>3.77 to 7.43</w:t>
            </w:r>
          </w:p>
        </w:tc>
        <w:tc>
          <w:tcPr>
            <w:tcW w:w="270" w:type="dxa"/>
            <w:vAlign w:val="center"/>
          </w:tcPr>
          <w:p w14:paraId="4F7E45D2" w14:textId="77777777" w:rsidR="00A24735" w:rsidRPr="00A24735" w:rsidRDefault="00A24735" w:rsidP="0049032B">
            <w:pPr>
              <w:jc w:val="center"/>
              <w:rPr>
                <w:sz w:val="18"/>
                <w:szCs w:val="18"/>
              </w:rPr>
            </w:pPr>
          </w:p>
        </w:tc>
        <w:tc>
          <w:tcPr>
            <w:tcW w:w="1260" w:type="dxa"/>
            <w:vAlign w:val="center"/>
          </w:tcPr>
          <w:p w14:paraId="3A496CA5" w14:textId="79215937" w:rsidR="00A24735" w:rsidRPr="00A24735" w:rsidRDefault="00D016F2" w:rsidP="0049032B">
            <w:pPr>
              <w:jc w:val="center"/>
              <w:rPr>
                <w:sz w:val="18"/>
                <w:szCs w:val="18"/>
              </w:rPr>
            </w:pPr>
            <w:r>
              <w:rPr>
                <w:sz w:val="18"/>
                <w:szCs w:val="18"/>
              </w:rPr>
              <w:t>4.66 to 10.02</w:t>
            </w:r>
          </w:p>
        </w:tc>
        <w:tc>
          <w:tcPr>
            <w:tcW w:w="1260" w:type="dxa"/>
            <w:vAlign w:val="center"/>
          </w:tcPr>
          <w:p w14:paraId="2DD9CA3D" w14:textId="2382A07A" w:rsidR="00A24735" w:rsidRPr="00A24735" w:rsidRDefault="00D016F2" w:rsidP="0049032B">
            <w:pPr>
              <w:jc w:val="center"/>
              <w:rPr>
                <w:sz w:val="18"/>
                <w:szCs w:val="18"/>
              </w:rPr>
            </w:pPr>
            <w:r>
              <w:rPr>
                <w:color w:val="010205"/>
                <w:sz w:val="18"/>
                <w:szCs w:val="18"/>
              </w:rPr>
              <w:t>4.11 to 9.09</w:t>
            </w:r>
          </w:p>
        </w:tc>
      </w:tr>
      <w:tr w:rsidR="009060B1" w:rsidRPr="00A24735" w14:paraId="7E6931C7" w14:textId="77777777" w:rsidTr="009060B1">
        <w:trPr>
          <w:trHeight w:val="387"/>
        </w:trPr>
        <w:tc>
          <w:tcPr>
            <w:tcW w:w="1890" w:type="dxa"/>
            <w:vAlign w:val="center"/>
          </w:tcPr>
          <w:p w14:paraId="321CBCFF" w14:textId="77777777" w:rsidR="00A24735" w:rsidRPr="00A24735" w:rsidRDefault="00A24735" w:rsidP="0049032B">
            <w:pPr>
              <w:rPr>
                <w:sz w:val="18"/>
                <w:szCs w:val="18"/>
              </w:rPr>
            </w:pPr>
            <w:r w:rsidRPr="00A24735">
              <w:rPr>
                <w:sz w:val="18"/>
                <w:szCs w:val="18"/>
              </w:rPr>
              <w:t>Grip Strength (kg)</w:t>
            </w:r>
          </w:p>
        </w:tc>
        <w:tc>
          <w:tcPr>
            <w:tcW w:w="1260" w:type="dxa"/>
            <w:vAlign w:val="center"/>
          </w:tcPr>
          <w:p w14:paraId="138B5B81" w14:textId="62888851" w:rsidR="00A24735" w:rsidRPr="00A24735" w:rsidRDefault="00D016F2" w:rsidP="0049032B">
            <w:pPr>
              <w:jc w:val="center"/>
              <w:rPr>
                <w:sz w:val="18"/>
                <w:szCs w:val="18"/>
              </w:rPr>
            </w:pPr>
            <w:r>
              <w:rPr>
                <w:sz w:val="18"/>
                <w:szCs w:val="18"/>
              </w:rPr>
              <w:t>21.6 to 30.8</w:t>
            </w:r>
          </w:p>
        </w:tc>
        <w:tc>
          <w:tcPr>
            <w:tcW w:w="1260" w:type="dxa"/>
            <w:vAlign w:val="center"/>
          </w:tcPr>
          <w:p w14:paraId="644227AC" w14:textId="4F043B3F" w:rsidR="00A24735" w:rsidRPr="00A24735" w:rsidRDefault="00D016F2" w:rsidP="0049032B">
            <w:pPr>
              <w:jc w:val="center"/>
              <w:rPr>
                <w:sz w:val="18"/>
                <w:szCs w:val="18"/>
              </w:rPr>
            </w:pPr>
            <w:r>
              <w:rPr>
                <w:sz w:val="18"/>
                <w:szCs w:val="18"/>
              </w:rPr>
              <w:t>24.0 to 32.4</w:t>
            </w:r>
          </w:p>
        </w:tc>
        <w:tc>
          <w:tcPr>
            <w:tcW w:w="270" w:type="dxa"/>
            <w:vAlign w:val="center"/>
          </w:tcPr>
          <w:p w14:paraId="58F8DA15" w14:textId="77777777" w:rsidR="00A24735" w:rsidRPr="00A24735" w:rsidRDefault="00A24735" w:rsidP="0049032B">
            <w:pPr>
              <w:jc w:val="center"/>
              <w:rPr>
                <w:sz w:val="18"/>
                <w:szCs w:val="18"/>
              </w:rPr>
            </w:pPr>
          </w:p>
        </w:tc>
        <w:tc>
          <w:tcPr>
            <w:tcW w:w="1260" w:type="dxa"/>
            <w:vAlign w:val="center"/>
          </w:tcPr>
          <w:p w14:paraId="5DD34758" w14:textId="46732CF2" w:rsidR="00A24735" w:rsidRPr="00A24735" w:rsidRDefault="00D016F2" w:rsidP="0049032B">
            <w:pPr>
              <w:jc w:val="center"/>
              <w:rPr>
                <w:sz w:val="18"/>
                <w:szCs w:val="18"/>
              </w:rPr>
            </w:pPr>
            <w:r>
              <w:rPr>
                <w:sz w:val="18"/>
                <w:szCs w:val="18"/>
              </w:rPr>
              <w:t>22.8 to 40.9</w:t>
            </w:r>
          </w:p>
        </w:tc>
        <w:tc>
          <w:tcPr>
            <w:tcW w:w="1260" w:type="dxa"/>
            <w:vAlign w:val="center"/>
          </w:tcPr>
          <w:p w14:paraId="0D64F481" w14:textId="28114D90" w:rsidR="00A24735" w:rsidRPr="00A24735" w:rsidRDefault="00D016F2" w:rsidP="0049032B">
            <w:pPr>
              <w:jc w:val="center"/>
              <w:rPr>
                <w:sz w:val="18"/>
                <w:szCs w:val="18"/>
              </w:rPr>
            </w:pPr>
            <w:r>
              <w:rPr>
                <w:color w:val="010205"/>
                <w:sz w:val="18"/>
                <w:szCs w:val="18"/>
              </w:rPr>
              <w:t>19.4 to 47.1</w:t>
            </w:r>
          </w:p>
        </w:tc>
        <w:tc>
          <w:tcPr>
            <w:tcW w:w="270" w:type="dxa"/>
            <w:vAlign w:val="center"/>
          </w:tcPr>
          <w:p w14:paraId="7504C42A" w14:textId="77777777" w:rsidR="00A24735" w:rsidRPr="00A24735" w:rsidRDefault="00A24735" w:rsidP="0049032B">
            <w:pPr>
              <w:jc w:val="center"/>
              <w:rPr>
                <w:sz w:val="18"/>
                <w:szCs w:val="18"/>
              </w:rPr>
            </w:pPr>
          </w:p>
        </w:tc>
        <w:tc>
          <w:tcPr>
            <w:tcW w:w="1260" w:type="dxa"/>
            <w:vAlign w:val="center"/>
          </w:tcPr>
          <w:p w14:paraId="52E66E27" w14:textId="64BCC290" w:rsidR="00A24735" w:rsidRPr="00A24735" w:rsidRDefault="00D016F2" w:rsidP="0049032B">
            <w:pPr>
              <w:jc w:val="center"/>
              <w:rPr>
                <w:sz w:val="18"/>
                <w:szCs w:val="18"/>
              </w:rPr>
            </w:pPr>
            <w:r>
              <w:rPr>
                <w:sz w:val="18"/>
                <w:szCs w:val="18"/>
              </w:rPr>
              <w:t>14.1 to 36.3</w:t>
            </w:r>
          </w:p>
        </w:tc>
        <w:tc>
          <w:tcPr>
            <w:tcW w:w="1260" w:type="dxa"/>
            <w:vAlign w:val="center"/>
          </w:tcPr>
          <w:p w14:paraId="6D1CA169" w14:textId="369A3727" w:rsidR="00A24735" w:rsidRPr="00A24735" w:rsidRDefault="00D016F2" w:rsidP="0049032B">
            <w:pPr>
              <w:jc w:val="center"/>
              <w:rPr>
                <w:sz w:val="18"/>
                <w:szCs w:val="18"/>
              </w:rPr>
            </w:pPr>
            <w:r>
              <w:rPr>
                <w:color w:val="010205"/>
                <w:sz w:val="18"/>
                <w:szCs w:val="18"/>
              </w:rPr>
              <w:t>13.7 to 39.3</w:t>
            </w:r>
          </w:p>
        </w:tc>
      </w:tr>
      <w:tr w:rsidR="007012FB" w:rsidRPr="00A24735" w14:paraId="462D3922" w14:textId="77777777" w:rsidTr="009060B1">
        <w:trPr>
          <w:trHeight w:val="387"/>
        </w:trPr>
        <w:tc>
          <w:tcPr>
            <w:tcW w:w="1890" w:type="dxa"/>
            <w:vAlign w:val="center"/>
          </w:tcPr>
          <w:p w14:paraId="18845E9A" w14:textId="2E159FC6" w:rsidR="007012FB" w:rsidRPr="00A24735" w:rsidRDefault="007012FB" w:rsidP="0049032B">
            <w:pPr>
              <w:rPr>
                <w:sz w:val="18"/>
                <w:szCs w:val="18"/>
              </w:rPr>
            </w:pPr>
            <w:r>
              <w:rPr>
                <w:sz w:val="18"/>
                <w:szCs w:val="18"/>
              </w:rPr>
              <w:t>Chair Rise (s)</w:t>
            </w:r>
          </w:p>
        </w:tc>
        <w:tc>
          <w:tcPr>
            <w:tcW w:w="1260" w:type="dxa"/>
            <w:vAlign w:val="center"/>
          </w:tcPr>
          <w:p w14:paraId="292DEB1A" w14:textId="5978EC9E" w:rsidR="007012FB" w:rsidRDefault="007012FB" w:rsidP="0049032B">
            <w:pPr>
              <w:jc w:val="center"/>
              <w:rPr>
                <w:sz w:val="18"/>
                <w:szCs w:val="18"/>
              </w:rPr>
            </w:pPr>
            <w:r>
              <w:rPr>
                <w:sz w:val="18"/>
                <w:szCs w:val="18"/>
              </w:rPr>
              <w:t>6.66 to 10.94</w:t>
            </w:r>
          </w:p>
        </w:tc>
        <w:tc>
          <w:tcPr>
            <w:tcW w:w="1260" w:type="dxa"/>
            <w:vAlign w:val="center"/>
          </w:tcPr>
          <w:p w14:paraId="61A0FDEA" w14:textId="54D557CF" w:rsidR="007012FB" w:rsidRDefault="007012FB" w:rsidP="0049032B">
            <w:pPr>
              <w:jc w:val="center"/>
              <w:rPr>
                <w:sz w:val="18"/>
                <w:szCs w:val="18"/>
              </w:rPr>
            </w:pPr>
            <w:r>
              <w:rPr>
                <w:sz w:val="18"/>
                <w:szCs w:val="18"/>
              </w:rPr>
              <w:t>4.12 to 11.13</w:t>
            </w:r>
          </w:p>
        </w:tc>
        <w:tc>
          <w:tcPr>
            <w:tcW w:w="270" w:type="dxa"/>
            <w:vAlign w:val="center"/>
          </w:tcPr>
          <w:p w14:paraId="7839E00F" w14:textId="77777777" w:rsidR="007012FB" w:rsidRPr="00A24735" w:rsidRDefault="007012FB" w:rsidP="0049032B">
            <w:pPr>
              <w:jc w:val="center"/>
              <w:rPr>
                <w:sz w:val="18"/>
                <w:szCs w:val="18"/>
              </w:rPr>
            </w:pPr>
          </w:p>
        </w:tc>
        <w:tc>
          <w:tcPr>
            <w:tcW w:w="1260" w:type="dxa"/>
            <w:vAlign w:val="center"/>
          </w:tcPr>
          <w:p w14:paraId="5F55886C" w14:textId="02841496" w:rsidR="007012FB" w:rsidRDefault="007012FB" w:rsidP="0049032B">
            <w:pPr>
              <w:jc w:val="center"/>
              <w:rPr>
                <w:sz w:val="18"/>
                <w:szCs w:val="18"/>
              </w:rPr>
            </w:pPr>
            <w:r>
              <w:rPr>
                <w:sz w:val="18"/>
                <w:szCs w:val="18"/>
              </w:rPr>
              <w:t>5.97 to 12.81</w:t>
            </w:r>
          </w:p>
        </w:tc>
        <w:tc>
          <w:tcPr>
            <w:tcW w:w="1260" w:type="dxa"/>
            <w:vAlign w:val="center"/>
          </w:tcPr>
          <w:p w14:paraId="6F5F8381" w14:textId="03AE0CD9" w:rsidR="007012FB" w:rsidRDefault="007012FB" w:rsidP="0049032B">
            <w:pPr>
              <w:jc w:val="center"/>
              <w:rPr>
                <w:color w:val="010205"/>
                <w:sz w:val="18"/>
                <w:szCs w:val="18"/>
              </w:rPr>
            </w:pPr>
            <w:r>
              <w:rPr>
                <w:color w:val="010205"/>
                <w:sz w:val="18"/>
                <w:szCs w:val="18"/>
              </w:rPr>
              <w:t>5.38 to 9.19</w:t>
            </w:r>
          </w:p>
        </w:tc>
        <w:tc>
          <w:tcPr>
            <w:tcW w:w="270" w:type="dxa"/>
            <w:vAlign w:val="center"/>
          </w:tcPr>
          <w:p w14:paraId="3E44D7C3" w14:textId="77777777" w:rsidR="007012FB" w:rsidRPr="00A24735" w:rsidRDefault="007012FB" w:rsidP="0049032B">
            <w:pPr>
              <w:jc w:val="center"/>
              <w:rPr>
                <w:sz w:val="18"/>
                <w:szCs w:val="18"/>
              </w:rPr>
            </w:pPr>
          </w:p>
        </w:tc>
        <w:tc>
          <w:tcPr>
            <w:tcW w:w="1260" w:type="dxa"/>
            <w:vAlign w:val="center"/>
          </w:tcPr>
          <w:p w14:paraId="72161CE4" w14:textId="6890A1FF" w:rsidR="007012FB" w:rsidRDefault="007012FB" w:rsidP="0049032B">
            <w:pPr>
              <w:jc w:val="center"/>
              <w:rPr>
                <w:sz w:val="18"/>
                <w:szCs w:val="18"/>
              </w:rPr>
            </w:pPr>
            <w:r>
              <w:rPr>
                <w:sz w:val="18"/>
                <w:szCs w:val="18"/>
              </w:rPr>
              <w:t>7.26 to 11.98</w:t>
            </w:r>
          </w:p>
        </w:tc>
        <w:tc>
          <w:tcPr>
            <w:tcW w:w="1260" w:type="dxa"/>
            <w:vAlign w:val="center"/>
          </w:tcPr>
          <w:p w14:paraId="555F5ADA" w14:textId="78EDD4D3" w:rsidR="007012FB" w:rsidRDefault="007012FB" w:rsidP="0049032B">
            <w:pPr>
              <w:jc w:val="center"/>
              <w:rPr>
                <w:color w:val="010205"/>
                <w:sz w:val="18"/>
                <w:szCs w:val="18"/>
              </w:rPr>
            </w:pPr>
            <w:r>
              <w:rPr>
                <w:color w:val="010205"/>
                <w:sz w:val="18"/>
                <w:szCs w:val="18"/>
              </w:rPr>
              <w:t>4.63 to 10.18</w:t>
            </w:r>
          </w:p>
        </w:tc>
      </w:tr>
    </w:tbl>
    <w:p w14:paraId="40BB4B75" w14:textId="15467D8C" w:rsidR="00A24735" w:rsidRDefault="00A24735"/>
    <w:p w14:paraId="4C4B2905" w14:textId="77777777" w:rsidR="00235C35" w:rsidRDefault="00235C35"/>
    <w:p w14:paraId="15685C4C" w14:textId="77777777" w:rsidR="00C6495E" w:rsidRPr="00C6495E" w:rsidRDefault="00C6495E" w:rsidP="00C6495E">
      <w:pPr>
        <w:pStyle w:val="Bibliography"/>
      </w:pPr>
      <w:r>
        <w:fldChar w:fldCharType="begin"/>
      </w:r>
      <w:r>
        <w:instrText xml:space="preserve"> ADDIN ZOTERO_BIBL {"uncited":[],"omitted":[],"custom":[]} CSL_BIBLIOGRAPHY </w:instrText>
      </w:r>
      <w:r>
        <w:fldChar w:fldCharType="separate"/>
      </w:r>
      <w:r w:rsidRPr="00C6495E">
        <w:t xml:space="preserve">1. </w:t>
      </w:r>
      <w:r w:rsidRPr="00C6495E">
        <w:tab/>
        <w:t>Tavoian D, Russ DW, Law TD, Simon JE, Chase PJ, Guseman EH, et al. A randomized clinical trial comparing three different exercise strategies for optimizing aerobic capacity and skeletal muscle performance in older adults: Protocol for the DART study. Front Med. 2019;6:236. doi:10.3389/fmed.2019.00236</w:t>
      </w:r>
    </w:p>
    <w:p w14:paraId="0D4F475A" w14:textId="6EF693A3" w:rsidR="00C6495E" w:rsidRDefault="00C6495E">
      <w:r>
        <w:fldChar w:fldCharType="end"/>
      </w:r>
    </w:p>
    <w:sectPr w:rsidR="00C6495E" w:rsidSect="00A2473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94"/>
    <w:rsid w:val="000811BB"/>
    <w:rsid w:val="00117881"/>
    <w:rsid w:val="0016372E"/>
    <w:rsid w:val="001F4C66"/>
    <w:rsid w:val="00235C35"/>
    <w:rsid w:val="00254803"/>
    <w:rsid w:val="00267168"/>
    <w:rsid w:val="00357F8F"/>
    <w:rsid w:val="00485694"/>
    <w:rsid w:val="006B4357"/>
    <w:rsid w:val="007012FB"/>
    <w:rsid w:val="007631D0"/>
    <w:rsid w:val="007D54B4"/>
    <w:rsid w:val="008768BD"/>
    <w:rsid w:val="0088181D"/>
    <w:rsid w:val="009060B1"/>
    <w:rsid w:val="00913E38"/>
    <w:rsid w:val="00A24735"/>
    <w:rsid w:val="00A57C77"/>
    <w:rsid w:val="00B7446B"/>
    <w:rsid w:val="00BA221B"/>
    <w:rsid w:val="00BA562F"/>
    <w:rsid w:val="00C5114B"/>
    <w:rsid w:val="00C632A9"/>
    <w:rsid w:val="00C6495E"/>
    <w:rsid w:val="00CA39F7"/>
    <w:rsid w:val="00D016F2"/>
    <w:rsid w:val="00D334E6"/>
    <w:rsid w:val="00D34810"/>
    <w:rsid w:val="00DC01A4"/>
    <w:rsid w:val="00DC6E68"/>
    <w:rsid w:val="00F4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C9E0DC"/>
  <w15:chartTrackingRefBased/>
  <w15:docId w15:val="{CCBD3009-CA80-0F49-9CE2-1CF84AA2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694"/>
    <w:pPr>
      <w:spacing w:line="480" w:lineRule="auto"/>
    </w:pPr>
    <w:rPr>
      <w:rFonts w:ascii="Times New Roman" w:eastAsia="Times New Roman" w:hAnsi="Times New Roman" w:cs="Times New Roman"/>
      <w:sz w:val="24"/>
    </w:rPr>
  </w:style>
  <w:style w:type="paragraph" w:styleId="Heading2">
    <w:name w:val="heading 2"/>
    <w:basedOn w:val="Normal"/>
    <w:next w:val="Normal"/>
    <w:link w:val="Heading2Char"/>
    <w:uiPriority w:val="9"/>
    <w:semiHidden/>
    <w:unhideWhenUsed/>
    <w:qFormat/>
    <w:rsid w:val="004856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85694"/>
    <w:pPr>
      <w:ind w:firstLine="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5694"/>
    <w:rPr>
      <w:rFonts w:ascii="Times New Roman" w:eastAsia="Times New Roman" w:hAnsi="Times New Roman" w:cs="Times New Roman"/>
      <w:b/>
      <w:sz w:val="24"/>
    </w:rPr>
  </w:style>
  <w:style w:type="character" w:customStyle="1" w:styleId="Heading2Char">
    <w:name w:val="Heading 2 Char"/>
    <w:basedOn w:val="DefaultParagraphFont"/>
    <w:link w:val="Heading2"/>
    <w:uiPriority w:val="9"/>
    <w:semiHidden/>
    <w:rsid w:val="0048569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24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11BB"/>
    <w:rPr>
      <w:sz w:val="16"/>
      <w:szCs w:val="16"/>
    </w:rPr>
  </w:style>
  <w:style w:type="paragraph" w:styleId="CommentText">
    <w:name w:val="annotation text"/>
    <w:basedOn w:val="Normal"/>
    <w:link w:val="CommentTextChar"/>
    <w:uiPriority w:val="99"/>
    <w:semiHidden/>
    <w:unhideWhenUsed/>
    <w:rsid w:val="000811BB"/>
    <w:pPr>
      <w:spacing w:line="240" w:lineRule="auto"/>
    </w:pPr>
    <w:rPr>
      <w:sz w:val="20"/>
      <w:szCs w:val="20"/>
    </w:rPr>
  </w:style>
  <w:style w:type="character" w:customStyle="1" w:styleId="CommentTextChar">
    <w:name w:val="Comment Text Char"/>
    <w:basedOn w:val="DefaultParagraphFont"/>
    <w:link w:val="CommentText"/>
    <w:uiPriority w:val="99"/>
    <w:semiHidden/>
    <w:rsid w:val="000811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11BB"/>
    <w:rPr>
      <w:b/>
      <w:bCs/>
    </w:rPr>
  </w:style>
  <w:style w:type="character" w:customStyle="1" w:styleId="CommentSubjectChar">
    <w:name w:val="Comment Subject Char"/>
    <w:basedOn w:val="CommentTextChar"/>
    <w:link w:val="CommentSubject"/>
    <w:uiPriority w:val="99"/>
    <w:semiHidden/>
    <w:rsid w:val="000811BB"/>
    <w:rPr>
      <w:rFonts w:ascii="Times New Roman" w:eastAsia="Times New Roman" w:hAnsi="Times New Roman" w:cs="Times New Roman"/>
      <w:b/>
      <w:bCs/>
      <w:sz w:val="20"/>
      <w:szCs w:val="20"/>
    </w:rPr>
  </w:style>
  <w:style w:type="paragraph" w:styleId="Bibliography">
    <w:name w:val="Bibliography"/>
    <w:basedOn w:val="Normal"/>
    <w:next w:val="Normal"/>
    <w:uiPriority w:val="37"/>
    <w:unhideWhenUsed/>
    <w:rsid w:val="00C6495E"/>
    <w:pPr>
      <w:tabs>
        <w:tab w:val="left" w:pos="380"/>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727127">
      <w:bodyDiv w:val="1"/>
      <w:marLeft w:val="0"/>
      <w:marRight w:val="0"/>
      <w:marTop w:val="0"/>
      <w:marBottom w:val="0"/>
      <w:divBdr>
        <w:top w:val="none" w:sz="0" w:space="0" w:color="auto"/>
        <w:left w:val="none" w:sz="0" w:space="0" w:color="auto"/>
        <w:bottom w:val="none" w:sz="0" w:space="0" w:color="auto"/>
        <w:right w:val="none" w:sz="0" w:space="0" w:color="auto"/>
      </w:divBdr>
      <w:divsChild>
        <w:div w:id="1484084863">
          <w:marLeft w:val="0"/>
          <w:marRight w:val="0"/>
          <w:marTop w:val="0"/>
          <w:marBottom w:val="0"/>
          <w:divBdr>
            <w:top w:val="none" w:sz="0" w:space="0" w:color="auto"/>
            <w:left w:val="none" w:sz="0" w:space="0" w:color="auto"/>
            <w:bottom w:val="none" w:sz="0" w:space="0" w:color="auto"/>
            <w:right w:val="none" w:sz="0" w:space="0" w:color="auto"/>
          </w:divBdr>
          <w:divsChild>
            <w:div w:id="608852764">
              <w:marLeft w:val="0"/>
              <w:marRight w:val="0"/>
              <w:marTop w:val="0"/>
              <w:marBottom w:val="0"/>
              <w:divBdr>
                <w:top w:val="none" w:sz="0" w:space="0" w:color="auto"/>
                <w:left w:val="none" w:sz="0" w:space="0" w:color="auto"/>
                <w:bottom w:val="none" w:sz="0" w:space="0" w:color="auto"/>
                <w:right w:val="none" w:sz="0" w:space="0" w:color="auto"/>
              </w:divBdr>
              <w:divsChild>
                <w:div w:id="5555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Tavoian, Dallin</dc:creator>
  <cp:keywords/>
  <dc:description/>
  <cp:lastModifiedBy>Tavoian, Dallin</cp:lastModifiedBy>
  <cp:revision>4</cp:revision>
  <dcterms:created xsi:type="dcterms:W3CDTF">2021-04-27T09:43:00Z</dcterms:created>
  <dcterms:modified xsi:type="dcterms:W3CDTF">2021-04-28T20:58:00Z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zotero-version="5.0.96.1"&gt;&lt;session id="5PSXsacg"/&gt;&lt;style id="http://www.zotero.org/styles/vancouver-brackets" locale="en-US" hasBibliography="1" bibliographyStyleHasBeenSet="1"/&gt;&lt;prefs&gt;&lt;pref name="fieldType" value="Field"/&gt;&lt;pref nam</vt:lpwstr>
  </property>
  <property fmtid="{D5CDD505-2E9C-101B-9397-08002B2CF9AE}" pid="3" name="ZOTERO_PREF_2">
    <vt:lpwstr>e="automaticJournalAbbreviations" value="true"/&gt;&lt;/prefs&gt;&lt;/data&gt;</vt:lpwstr>
  </property>
</Properties>
</file>