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EC72" w14:textId="77777777" w:rsidR="00EE4BF0" w:rsidRPr="00E85D55" w:rsidRDefault="00EE4BF0" w:rsidP="00EE4BF0">
      <w:pPr>
        <w:tabs>
          <w:tab w:val="left" w:pos="9639"/>
        </w:tabs>
        <w:spacing w:after="0" w:line="480" w:lineRule="auto"/>
        <w:jc w:val="center"/>
        <w:rPr>
          <w:rFonts w:ascii="Times New Roman" w:hAnsi="Times New Roman"/>
          <w:spacing w:val="65"/>
          <w:sz w:val="20"/>
          <w:szCs w:val="20"/>
          <w:lang w:val="en-GB"/>
        </w:rPr>
      </w:pPr>
      <w:r>
        <w:rPr>
          <w:rFonts w:ascii="Times New Roman" w:hAnsi="Times New Roman"/>
          <w:spacing w:val="65"/>
          <w:sz w:val="20"/>
          <w:szCs w:val="20"/>
          <w:lang w:val="en-GB"/>
        </w:rPr>
        <w:t>SUPPLEMENTARY MATERIAL</w:t>
      </w:r>
    </w:p>
    <w:p w14:paraId="2D8B8DCF" w14:textId="77777777" w:rsidR="00EE4BF0" w:rsidRPr="00E85D55" w:rsidRDefault="00EE4BF0" w:rsidP="00EE4BF0">
      <w:pPr>
        <w:spacing w:after="0" w:line="480" w:lineRule="auto"/>
        <w:jc w:val="both"/>
        <w:rPr>
          <w:rFonts w:ascii="Times New Roman" w:hAnsi="Times New Roman"/>
          <w:b/>
          <w:sz w:val="20"/>
          <w:szCs w:val="20"/>
          <w:lang w:val="en-GB"/>
        </w:rPr>
      </w:pPr>
    </w:p>
    <w:p w14:paraId="5DCC011C" w14:textId="77777777" w:rsidR="00EE4BF0" w:rsidRPr="00E85D55" w:rsidRDefault="00EE4BF0" w:rsidP="00EE4BF0">
      <w:pPr>
        <w:spacing w:after="0" w:line="480" w:lineRule="auto"/>
        <w:jc w:val="both"/>
        <w:rPr>
          <w:rFonts w:ascii="Times New Roman" w:hAnsi="Times New Roman"/>
          <w:b/>
          <w:sz w:val="20"/>
          <w:szCs w:val="20"/>
          <w:lang w:val="en-GB"/>
        </w:rPr>
      </w:pPr>
      <w:r w:rsidRPr="00E85D55">
        <w:rPr>
          <w:rFonts w:ascii="Times New Roman" w:hAnsi="Times New Roman"/>
          <w:b/>
          <w:sz w:val="20"/>
          <w:szCs w:val="20"/>
          <w:lang w:val="en-GB"/>
        </w:rPr>
        <w:t xml:space="preserve">Appendix </w:t>
      </w:r>
      <w:r>
        <w:rPr>
          <w:rFonts w:ascii="Times New Roman" w:hAnsi="Times New Roman"/>
          <w:b/>
          <w:sz w:val="20"/>
          <w:szCs w:val="20"/>
          <w:lang w:val="en-GB"/>
        </w:rPr>
        <w:t>A.</w:t>
      </w:r>
      <w:r w:rsidRPr="00E85D55">
        <w:rPr>
          <w:rFonts w:ascii="Times New Roman" w:hAnsi="Times New Roman"/>
          <w:b/>
          <w:sz w:val="20"/>
          <w:szCs w:val="20"/>
          <w:lang w:val="en-GB"/>
        </w:rPr>
        <w:t>1: PRISMA checklist</w:t>
      </w:r>
    </w:p>
    <w:tbl>
      <w:tblPr>
        <w:tblW w:w="15200" w:type="dxa"/>
        <w:tblBorders>
          <w:top w:val="nil"/>
          <w:left w:val="nil"/>
          <w:bottom w:val="nil"/>
          <w:right w:val="nil"/>
        </w:tblBorders>
        <w:tblLook w:val="0000" w:firstRow="0" w:lastRow="0" w:firstColumn="0" w:lastColumn="0" w:noHBand="0" w:noVBand="0"/>
      </w:tblPr>
      <w:tblGrid>
        <w:gridCol w:w="2773"/>
        <w:gridCol w:w="538"/>
        <w:gridCol w:w="10419"/>
        <w:gridCol w:w="1470"/>
      </w:tblGrid>
      <w:tr w:rsidR="00EE4BF0" w:rsidRPr="00646ABB" w14:paraId="74F7A5D2" w14:textId="77777777" w:rsidTr="007D1DAE">
        <w:trPr>
          <w:trHeight w:val="663"/>
        </w:trPr>
        <w:tc>
          <w:tcPr>
            <w:tcW w:w="13730" w:type="dxa"/>
            <w:gridSpan w:val="3"/>
            <w:tcBorders>
              <w:top w:val="nil"/>
              <w:left w:val="nil"/>
              <w:bottom w:val="single" w:sz="4" w:space="0" w:color="auto"/>
              <w:right w:val="nil"/>
            </w:tcBorders>
            <w:shd w:val="clear" w:color="auto" w:fill="auto"/>
            <w:vAlign w:val="center"/>
          </w:tcPr>
          <w:p w14:paraId="765370E0" w14:textId="77777777" w:rsidR="00EE4BF0" w:rsidRPr="00E85D55" w:rsidRDefault="00EE4BF0" w:rsidP="007D1DAE">
            <w:pPr>
              <w:pStyle w:val="Default"/>
              <w:spacing w:line="480" w:lineRule="auto"/>
              <w:jc w:val="center"/>
              <w:rPr>
                <w:rFonts w:ascii="Times New Roman" w:hAnsi="Times New Roman" w:cs="Times New Roman"/>
                <w:bCs/>
                <w:color w:val="auto"/>
                <w:sz w:val="20"/>
                <w:szCs w:val="20"/>
                <w:u w:val="single"/>
              </w:rPr>
            </w:pPr>
            <w:r w:rsidRPr="00E85D55">
              <w:rPr>
                <w:rFonts w:ascii="Times New Roman" w:hAnsi="Times New Roman" w:cs="Times New Roman"/>
                <w:bCs/>
                <w:color w:val="auto"/>
                <w:sz w:val="20"/>
                <w:szCs w:val="20"/>
                <w:u w:val="single"/>
              </w:rPr>
              <w:t xml:space="preserve">Table </w:t>
            </w:r>
            <w:r>
              <w:rPr>
                <w:rFonts w:ascii="Times New Roman" w:hAnsi="Times New Roman" w:cs="Times New Roman"/>
                <w:bCs/>
                <w:color w:val="auto"/>
                <w:sz w:val="20"/>
                <w:szCs w:val="20"/>
                <w:u w:val="single"/>
              </w:rPr>
              <w:t>A</w:t>
            </w:r>
            <w:r w:rsidRPr="00E85D55">
              <w:rPr>
                <w:rFonts w:ascii="Times New Roman" w:hAnsi="Times New Roman" w:cs="Times New Roman"/>
                <w:bCs/>
                <w:color w:val="auto"/>
                <w:sz w:val="20"/>
                <w:szCs w:val="20"/>
                <w:u w:val="single"/>
              </w:rPr>
              <w:t>.1 : Prisma checklist and associated page</w:t>
            </w:r>
          </w:p>
        </w:tc>
        <w:tc>
          <w:tcPr>
            <w:tcW w:w="1470" w:type="dxa"/>
            <w:tcBorders>
              <w:top w:val="nil"/>
              <w:left w:val="nil"/>
              <w:bottom w:val="single" w:sz="4" w:space="0" w:color="auto"/>
              <w:right w:val="nil"/>
            </w:tcBorders>
            <w:shd w:val="clear" w:color="auto" w:fill="auto"/>
            <w:vAlign w:val="center"/>
          </w:tcPr>
          <w:p w14:paraId="7A1E3C2E" w14:textId="77777777" w:rsidR="00EE4BF0" w:rsidRPr="00E85D55" w:rsidRDefault="00EE4BF0" w:rsidP="007D1DAE">
            <w:pPr>
              <w:pStyle w:val="Default"/>
              <w:spacing w:line="480" w:lineRule="auto"/>
              <w:jc w:val="both"/>
              <w:rPr>
                <w:rFonts w:ascii="Times New Roman" w:hAnsi="Times New Roman" w:cs="Times New Roman"/>
                <w:b/>
                <w:bCs/>
                <w:color w:val="FFFFFF"/>
                <w:sz w:val="20"/>
                <w:szCs w:val="20"/>
              </w:rPr>
            </w:pPr>
          </w:p>
        </w:tc>
      </w:tr>
      <w:tr w:rsidR="00EE4BF0" w:rsidRPr="00E85D55" w14:paraId="64710F21" w14:textId="77777777" w:rsidTr="007D1DAE">
        <w:trPr>
          <w:trHeight w:val="663"/>
        </w:trPr>
        <w:tc>
          <w:tcPr>
            <w:tcW w:w="2773" w:type="dxa"/>
            <w:tcBorders>
              <w:top w:val="single" w:sz="4" w:space="0" w:color="auto"/>
              <w:left w:val="single" w:sz="5" w:space="0" w:color="000000"/>
              <w:bottom w:val="double" w:sz="2" w:space="0" w:color="FFFFCC"/>
              <w:right w:val="single" w:sz="5" w:space="0" w:color="000000"/>
            </w:tcBorders>
            <w:shd w:val="clear" w:color="auto" w:fill="63639A"/>
            <w:vAlign w:val="center"/>
          </w:tcPr>
          <w:p w14:paraId="5BA165E5" w14:textId="77777777" w:rsidR="00EE4BF0" w:rsidRPr="00E85D55" w:rsidRDefault="00EE4BF0" w:rsidP="007D1DAE">
            <w:pPr>
              <w:pStyle w:val="Default"/>
              <w:spacing w:line="480" w:lineRule="auto"/>
              <w:jc w:val="both"/>
              <w:rPr>
                <w:rFonts w:ascii="Times New Roman" w:eastAsiaTheme="majorEastAsia" w:hAnsi="Times New Roman" w:cs="Times New Roman"/>
                <w:color w:val="FFFFFF"/>
                <w:sz w:val="20"/>
                <w:szCs w:val="20"/>
              </w:rPr>
            </w:pPr>
            <w:r w:rsidRPr="00E85D55">
              <w:rPr>
                <w:rFonts w:ascii="Times New Roman" w:hAnsi="Times New Roman" w:cs="Times New Roman"/>
                <w:b/>
                <w:bCs/>
                <w:color w:val="FFFFFF"/>
                <w:sz w:val="20"/>
                <w:szCs w:val="20"/>
              </w:rPr>
              <w:t xml:space="preserve">Section/topic </w:t>
            </w:r>
          </w:p>
        </w:tc>
        <w:tc>
          <w:tcPr>
            <w:tcW w:w="538" w:type="dxa"/>
            <w:tcBorders>
              <w:top w:val="single" w:sz="4" w:space="0" w:color="auto"/>
              <w:left w:val="single" w:sz="5" w:space="0" w:color="000000"/>
              <w:bottom w:val="double" w:sz="2" w:space="0" w:color="FFFFCC"/>
              <w:right w:val="single" w:sz="5" w:space="0" w:color="000000"/>
            </w:tcBorders>
            <w:shd w:val="clear" w:color="auto" w:fill="63639A"/>
            <w:vAlign w:val="center"/>
          </w:tcPr>
          <w:p w14:paraId="59CEDEBA" w14:textId="77777777" w:rsidR="00EE4BF0" w:rsidRPr="00E85D55" w:rsidRDefault="00EE4BF0" w:rsidP="007D1DAE">
            <w:pPr>
              <w:pStyle w:val="Default"/>
              <w:spacing w:line="480" w:lineRule="auto"/>
              <w:jc w:val="both"/>
              <w:rPr>
                <w:rFonts w:ascii="Times New Roman" w:eastAsiaTheme="majorEastAsia" w:hAnsi="Times New Roman" w:cs="Times New Roman"/>
                <w:b/>
                <w:bCs/>
                <w:color w:val="FFFFFF"/>
                <w:sz w:val="20"/>
                <w:szCs w:val="20"/>
              </w:rPr>
            </w:pPr>
            <w:r w:rsidRPr="00E85D55">
              <w:rPr>
                <w:rFonts w:ascii="Times New Roman" w:hAnsi="Times New Roman" w:cs="Times New Roman"/>
                <w:b/>
                <w:bCs/>
                <w:color w:val="FFFFFF"/>
                <w:sz w:val="20"/>
                <w:szCs w:val="20"/>
              </w:rPr>
              <w:t>#</w:t>
            </w:r>
          </w:p>
        </w:tc>
        <w:tc>
          <w:tcPr>
            <w:tcW w:w="10419" w:type="dxa"/>
            <w:tcBorders>
              <w:top w:val="single" w:sz="4" w:space="0" w:color="auto"/>
              <w:left w:val="single" w:sz="5" w:space="0" w:color="000000"/>
              <w:bottom w:val="double" w:sz="5" w:space="0" w:color="000000"/>
              <w:right w:val="single" w:sz="5" w:space="0" w:color="000000"/>
            </w:tcBorders>
            <w:shd w:val="clear" w:color="auto" w:fill="63639A"/>
            <w:vAlign w:val="center"/>
          </w:tcPr>
          <w:p w14:paraId="70436BEB" w14:textId="77777777" w:rsidR="00EE4BF0" w:rsidRPr="00E85D55" w:rsidRDefault="00EE4BF0" w:rsidP="007D1DAE">
            <w:pPr>
              <w:pStyle w:val="Default"/>
              <w:spacing w:line="480" w:lineRule="auto"/>
              <w:jc w:val="both"/>
              <w:rPr>
                <w:rFonts w:ascii="Times New Roman" w:eastAsiaTheme="majorEastAsia" w:hAnsi="Times New Roman" w:cs="Times New Roman"/>
                <w:color w:val="FFFFFF"/>
                <w:sz w:val="20"/>
                <w:szCs w:val="20"/>
              </w:rPr>
            </w:pPr>
            <w:r w:rsidRPr="00E85D55">
              <w:rPr>
                <w:rFonts w:ascii="Times New Roman" w:hAnsi="Times New Roman" w:cs="Times New Roman"/>
                <w:b/>
                <w:bCs/>
                <w:color w:val="FFFFFF"/>
                <w:sz w:val="20"/>
                <w:szCs w:val="20"/>
              </w:rPr>
              <w:t xml:space="preserve">Checklist item </w:t>
            </w:r>
          </w:p>
        </w:tc>
        <w:tc>
          <w:tcPr>
            <w:tcW w:w="1470" w:type="dxa"/>
            <w:tcBorders>
              <w:top w:val="single" w:sz="4" w:space="0" w:color="auto"/>
              <w:left w:val="single" w:sz="5" w:space="0" w:color="000000"/>
              <w:bottom w:val="double" w:sz="5" w:space="0" w:color="000000"/>
              <w:right w:val="single" w:sz="5" w:space="0" w:color="000000"/>
            </w:tcBorders>
            <w:shd w:val="clear" w:color="auto" w:fill="63639A"/>
            <w:vAlign w:val="center"/>
          </w:tcPr>
          <w:p w14:paraId="65901B38" w14:textId="77777777" w:rsidR="00EE4BF0" w:rsidRPr="00E85D55" w:rsidRDefault="00EE4BF0" w:rsidP="007D1DAE">
            <w:pPr>
              <w:pStyle w:val="Default"/>
              <w:spacing w:line="480" w:lineRule="auto"/>
              <w:jc w:val="both"/>
              <w:rPr>
                <w:rFonts w:ascii="Times New Roman" w:eastAsiaTheme="majorEastAsia" w:hAnsi="Times New Roman" w:cs="Times New Roman"/>
                <w:color w:val="FFFFFF"/>
                <w:sz w:val="20"/>
                <w:szCs w:val="20"/>
              </w:rPr>
            </w:pPr>
            <w:r w:rsidRPr="00E85D55">
              <w:rPr>
                <w:rFonts w:ascii="Times New Roman" w:hAnsi="Times New Roman" w:cs="Times New Roman"/>
                <w:b/>
                <w:bCs/>
                <w:color w:val="FFFFFF"/>
                <w:sz w:val="20"/>
                <w:szCs w:val="20"/>
              </w:rPr>
              <w:t xml:space="preserve">Reported on page # </w:t>
            </w:r>
          </w:p>
        </w:tc>
      </w:tr>
      <w:tr w:rsidR="00EE4BF0" w:rsidRPr="00E85D55" w14:paraId="062C5ACB" w14:textId="77777777" w:rsidTr="007D1DAE">
        <w:trPr>
          <w:trHeight w:val="335"/>
        </w:trPr>
        <w:tc>
          <w:tcPr>
            <w:tcW w:w="137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5E5262"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b/>
                <w:bCs/>
                <w:sz w:val="20"/>
                <w:szCs w:val="20"/>
              </w:rPr>
              <w:t xml:space="preserve">TITLE </w:t>
            </w:r>
          </w:p>
        </w:tc>
        <w:tc>
          <w:tcPr>
            <w:tcW w:w="1470" w:type="dxa"/>
            <w:tcBorders>
              <w:top w:val="double" w:sz="5" w:space="0" w:color="000000"/>
              <w:left w:val="single" w:sz="5" w:space="0" w:color="000000"/>
              <w:bottom w:val="single" w:sz="5" w:space="0" w:color="000000"/>
              <w:right w:val="single" w:sz="5" w:space="0" w:color="000000"/>
            </w:tcBorders>
            <w:shd w:val="clear" w:color="auto" w:fill="FFFFCC"/>
          </w:tcPr>
          <w:p w14:paraId="1D8B5AF0" w14:textId="77777777" w:rsidR="00EE4BF0" w:rsidRPr="00E85D55" w:rsidRDefault="00EE4BF0" w:rsidP="007D1DAE">
            <w:pPr>
              <w:pStyle w:val="Default"/>
              <w:spacing w:line="480" w:lineRule="auto"/>
              <w:jc w:val="both"/>
              <w:rPr>
                <w:rFonts w:ascii="Times New Roman" w:eastAsia="Calibri" w:hAnsi="Times New Roman" w:cs="Times New Roman"/>
                <w:color w:val="auto"/>
                <w:sz w:val="20"/>
                <w:szCs w:val="20"/>
              </w:rPr>
            </w:pPr>
          </w:p>
        </w:tc>
      </w:tr>
      <w:tr w:rsidR="00EE4BF0" w:rsidRPr="00E85D55" w14:paraId="3C0A0DBA" w14:textId="77777777" w:rsidTr="007D1DAE">
        <w:trPr>
          <w:trHeight w:val="323"/>
        </w:trPr>
        <w:tc>
          <w:tcPr>
            <w:tcW w:w="2773" w:type="dxa"/>
            <w:tcBorders>
              <w:top w:val="single" w:sz="5" w:space="0" w:color="000000"/>
              <w:left w:val="single" w:sz="5" w:space="0" w:color="000000"/>
              <w:bottom w:val="double" w:sz="2" w:space="0" w:color="FFFFCC"/>
              <w:right w:val="single" w:sz="5" w:space="0" w:color="000000"/>
            </w:tcBorders>
          </w:tcPr>
          <w:p w14:paraId="6EA3DAA9"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Title </w:t>
            </w:r>
          </w:p>
        </w:tc>
        <w:tc>
          <w:tcPr>
            <w:tcW w:w="538" w:type="dxa"/>
            <w:tcBorders>
              <w:top w:val="single" w:sz="5" w:space="0" w:color="000000"/>
              <w:left w:val="single" w:sz="5" w:space="0" w:color="000000"/>
              <w:bottom w:val="double" w:sz="2" w:space="0" w:color="FFFFCC"/>
              <w:right w:val="single" w:sz="5" w:space="0" w:color="000000"/>
            </w:tcBorders>
          </w:tcPr>
          <w:p w14:paraId="1F087916"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1</w:t>
            </w:r>
          </w:p>
        </w:tc>
        <w:tc>
          <w:tcPr>
            <w:tcW w:w="10419" w:type="dxa"/>
            <w:tcBorders>
              <w:top w:val="single" w:sz="5" w:space="0" w:color="000000"/>
              <w:left w:val="single" w:sz="5" w:space="0" w:color="000000"/>
              <w:bottom w:val="double" w:sz="5" w:space="0" w:color="000000"/>
              <w:right w:val="single" w:sz="5" w:space="0" w:color="000000"/>
            </w:tcBorders>
          </w:tcPr>
          <w:p w14:paraId="231A05DA"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Identify the report as a systematic review, meta-analysis, or both. </w:t>
            </w:r>
          </w:p>
        </w:tc>
        <w:tc>
          <w:tcPr>
            <w:tcW w:w="1470" w:type="dxa"/>
            <w:tcBorders>
              <w:top w:val="single" w:sz="5" w:space="0" w:color="000000"/>
              <w:left w:val="single" w:sz="5" w:space="0" w:color="000000"/>
              <w:bottom w:val="double" w:sz="5" w:space="0" w:color="000000"/>
              <w:right w:val="single" w:sz="5" w:space="0" w:color="000000"/>
            </w:tcBorders>
          </w:tcPr>
          <w:p w14:paraId="385F5343" w14:textId="77777777" w:rsidR="00EE4BF0" w:rsidRPr="00E85D55" w:rsidRDefault="00EE4BF0" w:rsidP="007D1DAE">
            <w:pPr>
              <w:pStyle w:val="Default"/>
              <w:spacing w:line="480" w:lineRule="auto"/>
              <w:jc w:val="both"/>
              <w:rPr>
                <w:rFonts w:ascii="Times New Roman" w:eastAsiaTheme="majorEastAsia" w:hAnsi="Times New Roman" w:cs="Times New Roman"/>
                <w:color w:val="auto"/>
                <w:sz w:val="20"/>
                <w:szCs w:val="20"/>
              </w:rPr>
            </w:pPr>
            <w:r w:rsidRPr="00E85D55">
              <w:rPr>
                <w:rFonts w:ascii="Times New Roman" w:hAnsi="Times New Roman" w:cs="Times New Roman"/>
                <w:color w:val="auto"/>
                <w:sz w:val="20"/>
                <w:szCs w:val="20"/>
              </w:rPr>
              <w:t>TITLE</w:t>
            </w:r>
          </w:p>
        </w:tc>
      </w:tr>
      <w:tr w:rsidR="00EE4BF0" w:rsidRPr="00E85D55" w14:paraId="2A280A65" w14:textId="77777777" w:rsidTr="007D1DAE">
        <w:trPr>
          <w:trHeight w:val="335"/>
        </w:trPr>
        <w:tc>
          <w:tcPr>
            <w:tcW w:w="137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BD70FC"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b/>
                <w:bCs/>
                <w:sz w:val="20"/>
                <w:szCs w:val="20"/>
              </w:rPr>
              <w:t xml:space="preserve">ABSTRACT </w:t>
            </w:r>
          </w:p>
        </w:tc>
        <w:tc>
          <w:tcPr>
            <w:tcW w:w="1470" w:type="dxa"/>
            <w:tcBorders>
              <w:top w:val="double" w:sz="5" w:space="0" w:color="000000"/>
              <w:left w:val="single" w:sz="5" w:space="0" w:color="000000"/>
              <w:bottom w:val="single" w:sz="5" w:space="0" w:color="000000"/>
              <w:right w:val="single" w:sz="5" w:space="0" w:color="000000"/>
            </w:tcBorders>
            <w:shd w:val="clear" w:color="auto" w:fill="FFFFCC"/>
          </w:tcPr>
          <w:p w14:paraId="46A45A46" w14:textId="77777777" w:rsidR="00EE4BF0" w:rsidRPr="00E85D55" w:rsidRDefault="00EE4BF0" w:rsidP="007D1DAE">
            <w:pPr>
              <w:pStyle w:val="Default"/>
              <w:spacing w:line="480" w:lineRule="auto"/>
              <w:jc w:val="both"/>
              <w:rPr>
                <w:rFonts w:ascii="Times New Roman" w:eastAsia="Calibri" w:hAnsi="Times New Roman" w:cs="Times New Roman"/>
                <w:color w:val="auto"/>
                <w:sz w:val="20"/>
                <w:szCs w:val="20"/>
              </w:rPr>
            </w:pPr>
          </w:p>
        </w:tc>
      </w:tr>
      <w:tr w:rsidR="00EE4BF0" w:rsidRPr="00E85D55" w14:paraId="5B1F217B" w14:textId="77777777" w:rsidTr="007D1DAE">
        <w:trPr>
          <w:trHeight w:val="810"/>
        </w:trPr>
        <w:tc>
          <w:tcPr>
            <w:tcW w:w="2773" w:type="dxa"/>
            <w:tcBorders>
              <w:top w:val="single" w:sz="5" w:space="0" w:color="000000"/>
              <w:left w:val="single" w:sz="5" w:space="0" w:color="000000"/>
              <w:bottom w:val="double" w:sz="2" w:space="0" w:color="FFFFCC"/>
              <w:right w:val="single" w:sz="5" w:space="0" w:color="000000"/>
            </w:tcBorders>
          </w:tcPr>
          <w:p w14:paraId="5D238BCC"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Structured summary </w:t>
            </w:r>
          </w:p>
        </w:tc>
        <w:tc>
          <w:tcPr>
            <w:tcW w:w="538" w:type="dxa"/>
            <w:tcBorders>
              <w:top w:val="single" w:sz="5" w:space="0" w:color="000000"/>
              <w:left w:val="single" w:sz="5" w:space="0" w:color="000000"/>
              <w:bottom w:val="double" w:sz="2" w:space="0" w:color="FFFFCC"/>
              <w:right w:val="single" w:sz="5" w:space="0" w:color="000000"/>
            </w:tcBorders>
          </w:tcPr>
          <w:p w14:paraId="37B6F969"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2</w:t>
            </w:r>
          </w:p>
        </w:tc>
        <w:tc>
          <w:tcPr>
            <w:tcW w:w="10419" w:type="dxa"/>
            <w:tcBorders>
              <w:top w:val="single" w:sz="5" w:space="0" w:color="000000"/>
              <w:left w:val="single" w:sz="5" w:space="0" w:color="000000"/>
              <w:bottom w:val="double" w:sz="5" w:space="0" w:color="000000"/>
              <w:right w:val="single" w:sz="5" w:space="0" w:color="000000"/>
            </w:tcBorders>
          </w:tcPr>
          <w:p w14:paraId="018B04FE"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70" w:type="dxa"/>
            <w:tcBorders>
              <w:top w:val="single" w:sz="5" w:space="0" w:color="000000"/>
              <w:left w:val="single" w:sz="5" w:space="0" w:color="000000"/>
              <w:bottom w:val="double" w:sz="5" w:space="0" w:color="000000"/>
              <w:right w:val="single" w:sz="5" w:space="0" w:color="000000"/>
            </w:tcBorders>
          </w:tcPr>
          <w:p w14:paraId="4D4B4190" w14:textId="77777777" w:rsidR="00EE4BF0" w:rsidRPr="00E85D55" w:rsidRDefault="00EE4BF0" w:rsidP="007D1DAE">
            <w:pPr>
              <w:pStyle w:val="Default"/>
              <w:spacing w:line="480" w:lineRule="auto"/>
              <w:jc w:val="both"/>
              <w:rPr>
                <w:rFonts w:ascii="Times New Roman" w:eastAsiaTheme="majorEastAsia" w:hAnsi="Times New Roman" w:cs="Times New Roman"/>
                <w:color w:val="auto"/>
                <w:sz w:val="20"/>
                <w:szCs w:val="20"/>
              </w:rPr>
            </w:pPr>
            <w:r w:rsidRPr="00E85D55">
              <w:rPr>
                <w:rFonts w:ascii="Times New Roman" w:hAnsi="Times New Roman" w:cs="Times New Roman"/>
                <w:color w:val="auto"/>
                <w:sz w:val="20"/>
                <w:szCs w:val="20"/>
              </w:rPr>
              <w:t>ABSTRACT</w:t>
            </w:r>
          </w:p>
        </w:tc>
      </w:tr>
      <w:tr w:rsidR="00EE4BF0" w:rsidRPr="00E85D55" w14:paraId="228E910F" w14:textId="77777777" w:rsidTr="007D1DAE">
        <w:trPr>
          <w:trHeight w:val="335"/>
        </w:trPr>
        <w:tc>
          <w:tcPr>
            <w:tcW w:w="137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4544DC4"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b/>
                <w:bCs/>
                <w:sz w:val="20"/>
                <w:szCs w:val="20"/>
              </w:rPr>
              <w:t xml:space="preserve">INTRODUCTION </w:t>
            </w:r>
          </w:p>
        </w:tc>
        <w:tc>
          <w:tcPr>
            <w:tcW w:w="1470" w:type="dxa"/>
            <w:tcBorders>
              <w:top w:val="double" w:sz="5" w:space="0" w:color="000000"/>
              <w:left w:val="single" w:sz="5" w:space="0" w:color="000000"/>
              <w:bottom w:val="single" w:sz="5" w:space="0" w:color="000000"/>
              <w:right w:val="single" w:sz="5" w:space="0" w:color="000000"/>
            </w:tcBorders>
            <w:shd w:val="clear" w:color="auto" w:fill="FFFFCC"/>
          </w:tcPr>
          <w:p w14:paraId="41382920" w14:textId="77777777" w:rsidR="00EE4BF0" w:rsidRPr="00E85D55" w:rsidRDefault="00EE4BF0" w:rsidP="007D1DAE">
            <w:pPr>
              <w:pStyle w:val="Default"/>
              <w:spacing w:line="480" w:lineRule="auto"/>
              <w:jc w:val="both"/>
              <w:rPr>
                <w:rFonts w:ascii="Times New Roman" w:eastAsia="Calibri" w:hAnsi="Times New Roman" w:cs="Times New Roman"/>
                <w:color w:val="auto"/>
                <w:sz w:val="20"/>
                <w:szCs w:val="20"/>
              </w:rPr>
            </w:pPr>
          </w:p>
        </w:tc>
      </w:tr>
      <w:tr w:rsidR="00EE4BF0" w:rsidRPr="00E85D55" w14:paraId="400A88F1" w14:textId="77777777" w:rsidTr="007D1DAE">
        <w:trPr>
          <w:trHeight w:val="333"/>
        </w:trPr>
        <w:tc>
          <w:tcPr>
            <w:tcW w:w="2773" w:type="dxa"/>
            <w:tcBorders>
              <w:top w:val="single" w:sz="5" w:space="0" w:color="000000"/>
              <w:left w:val="single" w:sz="5" w:space="0" w:color="000000"/>
              <w:bottom w:val="single" w:sz="5" w:space="0" w:color="000000"/>
              <w:right w:val="single" w:sz="5" w:space="0" w:color="000000"/>
            </w:tcBorders>
          </w:tcPr>
          <w:p w14:paraId="525FBD85"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Rationale </w:t>
            </w:r>
          </w:p>
        </w:tc>
        <w:tc>
          <w:tcPr>
            <w:tcW w:w="538" w:type="dxa"/>
            <w:tcBorders>
              <w:top w:val="single" w:sz="5" w:space="0" w:color="000000"/>
              <w:left w:val="single" w:sz="5" w:space="0" w:color="000000"/>
              <w:bottom w:val="single" w:sz="5" w:space="0" w:color="000000"/>
              <w:right w:val="single" w:sz="5" w:space="0" w:color="000000"/>
            </w:tcBorders>
          </w:tcPr>
          <w:p w14:paraId="3DF685B0"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3</w:t>
            </w:r>
          </w:p>
        </w:tc>
        <w:tc>
          <w:tcPr>
            <w:tcW w:w="10419" w:type="dxa"/>
            <w:tcBorders>
              <w:top w:val="single" w:sz="5" w:space="0" w:color="000000"/>
              <w:left w:val="single" w:sz="5" w:space="0" w:color="000000"/>
              <w:bottom w:val="single" w:sz="5" w:space="0" w:color="000000"/>
              <w:right w:val="single" w:sz="5" w:space="0" w:color="000000"/>
            </w:tcBorders>
          </w:tcPr>
          <w:p w14:paraId="357379C5"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Describe the rationale for the review in the context of what is already known. </w:t>
            </w:r>
          </w:p>
        </w:tc>
        <w:tc>
          <w:tcPr>
            <w:tcW w:w="1470" w:type="dxa"/>
            <w:tcBorders>
              <w:top w:val="single" w:sz="5" w:space="0" w:color="000000"/>
              <w:left w:val="single" w:sz="5" w:space="0" w:color="000000"/>
              <w:bottom w:val="single" w:sz="5" w:space="0" w:color="000000"/>
              <w:right w:val="single" w:sz="5" w:space="0" w:color="000000"/>
            </w:tcBorders>
          </w:tcPr>
          <w:p w14:paraId="2A134353" w14:textId="77777777" w:rsidR="00EE4BF0" w:rsidRPr="00E85D55" w:rsidRDefault="00EE4BF0" w:rsidP="007D1DAE">
            <w:pPr>
              <w:pStyle w:val="Default"/>
              <w:spacing w:line="480" w:lineRule="auto"/>
              <w:jc w:val="both"/>
              <w:rPr>
                <w:rFonts w:ascii="Times New Roman" w:eastAsiaTheme="majorEastAsia" w:hAnsi="Times New Roman" w:cs="Times New Roman"/>
                <w:color w:val="auto"/>
                <w:sz w:val="20"/>
                <w:szCs w:val="20"/>
              </w:rPr>
            </w:pPr>
            <w:r w:rsidRPr="00E85D55">
              <w:rPr>
                <w:rFonts w:ascii="Times New Roman" w:hAnsi="Times New Roman" w:cs="Times New Roman"/>
                <w:color w:val="auto"/>
                <w:sz w:val="20"/>
                <w:szCs w:val="20"/>
              </w:rPr>
              <w:t>3</w:t>
            </w:r>
          </w:p>
        </w:tc>
      </w:tr>
      <w:tr w:rsidR="00EE4BF0" w:rsidRPr="00E85D55" w14:paraId="17D7A330" w14:textId="77777777" w:rsidTr="007D1DAE">
        <w:trPr>
          <w:trHeight w:val="568"/>
        </w:trPr>
        <w:tc>
          <w:tcPr>
            <w:tcW w:w="2773" w:type="dxa"/>
            <w:tcBorders>
              <w:top w:val="single" w:sz="5" w:space="0" w:color="000000"/>
              <w:left w:val="single" w:sz="5" w:space="0" w:color="000000"/>
              <w:bottom w:val="double" w:sz="2" w:space="0" w:color="FFFFCC"/>
              <w:right w:val="single" w:sz="5" w:space="0" w:color="000000"/>
            </w:tcBorders>
          </w:tcPr>
          <w:p w14:paraId="6F344B75"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Objectives </w:t>
            </w:r>
          </w:p>
        </w:tc>
        <w:tc>
          <w:tcPr>
            <w:tcW w:w="538" w:type="dxa"/>
            <w:tcBorders>
              <w:top w:val="single" w:sz="5" w:space="0" w:color="000000"/>
              <w:left w:val="single" w:sz="5" w:space="0" w:color="000000"/>
              <w:bottom w:val="double" w:sz="2" w:space="0" w:color="FFFFCC"/>
              <w:right w:val="single" w:sz="5" w:space="0" w:color="000000"/>
            </w:tcBorders>
          </w:tcPr>
          <w:p w14:paraId="443FB367"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4</w:t>
            </w:r>
          </w:p>
        </w:tc>
        <w:tc>
          <w:tcPr>
            <w:tcW w:w="10419" w:type="dxa"/>
            <w:tcBorders>
              <w:top w:val="single" w:sz="5" w:space="0" w:color="000000"/>
              <w:left w:val="single" w:sz="5" w:space="0" w:color="000000"/>
              <w:bottom w:val="double" w:sz="5" w:space="0" w:color="000000"/>
              <w:right w:val="single" w:sz="5" w:space="0" w:color="000000"/>
            </w:tcBorders>
          </w:tcPr>
          <w:p w14:paraId="5AD23F79"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470" w:type="dxa"/>
            <w:tcBorders>
              <w:top w:val="single" w:sz="5" w:space="0" w:color="000000"/>
              <w:left w:val="single" w:sz="5" w:space="0" w:color="000000"/>
              <w:bottom w:val="double" w:sz="5" w:space="0" w:color="000000"/>
              <w:right w:val="single" w:sz="5" w:space="0" w:color="000000"/>
            </w:tcBorders>
          </w:tcPr>
          <w:p w14:paraId="4ED9E29E" w14:textId="77777777" w:rsidR="00EE4BF0" w:rsidRPr="00E85D55" w:rsidRDefault="00EE4BF0" w:rsidP="007D1DAE">
            <w:pPr>
              <w:pStyle w:val="Default"/>
              <w:spacing w:line="480" w:lineRule="auto"/>
              <w:jc w:val="both"/>
              <w:rPr>
                <w:rFonts w:ascii="Times New Roman" w:eastAsiaTheme="majorEastAsia" w:hAnsi="Times New Roman" w:cs="Times New Roman"/>
                <w:color w:val="auto"/>
                <w:sz w:val="20"/>
                <w:szCs w:val="20"/>
              </w:rPr>
            </w:pPr>
            <w:r w:rsidRPr="00E85D55">
              <w:rPr>
                <w:rFonts w:ascii="Times New Roman" w:hAnsi="Times New Roman" w:cs="Times New Roman"/>
                <w:color w:val="auto"/>
                <w:sz w:val="20"/>
                <w:szCs w:val="20"/>
              </w:rPr>
              <w:t>3</w:t>
            </w:r>
          </w:p>
        </w:tc>
      </w:tr>
      <w:tr w:rsidR="00EE4BF0" w:rsidRPr="00E85D55" w14:paraId="5A622F10" w14:textId="77777777" w:rsidTr="007D1DAE">
        <w:trPr>
          <w:trHeight w:val="335"/>
        </w:trPr>
        <w:tc>
          <w:tcPr>
            <w:tcW w:w="137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9C2F78"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b/>
                <w:bCs/>
                <w:sz w:val="20"/>
                <w:szCs w:val="20"/>
              </w:rPr>
              <w:t xml:space="preserve">METHODS </w:t>
            </w:r>
          </w:p>
        </w:tc>
        <w:tc>
          <w:tcPr>
            <w:tcW w:w="1470" w:type="dxa"/>
            <w:tcBorders>
              <w:top w:val="double" w:sz="5" w:space="0" w:color="000000"/>
              <w:left w:val="single" w:sz="5" w:space="0" w:color="000000"/>
              <w:bottom w:val="single" w:sz="5" w:space="0" w:color="000000"/>
              <w:right w:val="single" w:sz="5" w:space="0" w:color="000000"/>
            </w:tcBorders>
            <w:shd w:val="clear" w:color="auto" w:fill="FFFFCC"/>
          </w:tcPr>
          <w:p w14:paraId="70D5EFEC" w14:textId="77777777" w:rsidR="00EE4BF0" w:rsidRPr="00E85D55" w:rsidRDefault="00EE4BF0" w:rsidP="007D1DAE">
            <w:pPr>
              <w:pStyle w:val="Default"/>
              <w:spacing w:line="480" w:lineRule="auto"/>
              <w:jc w:val="both"/>
              <w:rPr>
                <w:rFonts w:ascii="Times New Roman" w:eastAsia="Calibri" w:hAnsi="Times New Roman" w:cs="Times New Roman"/>
                <w:color w:val="auto"/>
                <w:sz w:val="20"/>
                <w:szCs w:val="20"/>
              </w:rPr>
            </w:pPr>
          </w:p>
        </w:tc>
      </w:tr>
      <w:tr w:rsidR="00EE4BF0" w:rsidRPr="00E85D55" w14:paraId="5498A945" w14:textId="77777777" w:rsidTr="007D1DAE">
        <w:trPr>
          <w:trHeight w:val="578"/>
        </w:trPr>
        <w:tc>
          <w:tcPr>
            <w:tcW w:w="2773" w:type="dxa"/>
            <w:tcBorders>
              <w:top w:val="single" w:sz="5" w:space="0" w:color="000000"/>
              <w:left w:val="single" w:sz="5" w:space="0" w:color="000000"/>
              <w:bottom w:val="single" w:sz="5" w:space="0" w:color="000000"/>
              <w:right w:val="single" w:sz="5" w:space="0" w:color="000000"/>
            </w:tcBorders>
          </w:tcPr>
          <w:p w14:paraId="03B45C3F"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Protocol and registration </w:t>
            </w:r>
          </w:p>
        </w:tc>
        <w:tc>
          <w:tcPr>
            <w:tcW w:w="538" w:type="dxa"/>
            <w:tcBorders>
              <w:top w:val="single" w:sz="5" w:space="0" w:color="000000"/>
              <w:left w:val="single" w:sz="5" w:space="0" w:color="000000"/>
              <w:bottom w:val="single" w:sz="5" w:space="0" w:color="000000"/>
              <w:right w:val="single" w:sz="5" w:space="0" w:color="000000"/>
            </w:tcBorders>
          </w:tcPr>
          <w:p w14:paraId="394391C9"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5</w:t>
            </w:r>
          </w:p>
        </w:tc>
        <w:tc>
          <w:tcPr>
            <w:tcW w:w="10419" w:type="dxa"/>
            <w:tcBorders>
              <w:top w:val="single" w:sz="5" w:space="0" w:color="000000"/>
              <w:left w:val="single" w:sz="5" w:space="0" w:color="000000"/>
              <w:bottom w:val="single" w:sz="5" w:space="0" w:color="000000"/>
              <w:right w:val="single" w:sz="5" w:space="0" w:color="000000"/>
            </w:tcBorders>
          </w:tcPr>
          <w:p w14:paraId="703CAEFF"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Indicate if a review protocol exists, if and where it can be accessed (e.g., Web address), and, if available, provide registration </w:t>
            </w:r>
            <w:r w:rsidRPr="00E85D55">
              <w:rPr>
                <w:rFonts w:ascii="Times New Roman" w:hAnsi="Times New Roman" w:cs="Times New Roman"/>
                <w:sz w:val="20"/>
                <w:szCs w:val="20"/>
              </w:rPr>
              <w:lastRenderedPageBreak/>
              <w:t xml:space="preserve">information including registration number. </w:t>
            </w:r>
          </w:p>
        </w:tc>
        <w:tc>
          <w:tcPr>
            <w:tcW w:w="1470" w:type="dxa"/>
            <w:tcBorders>
              <w:top w:val="single" w:sz="5" w:space="0" w:color="000000"/>
              <w:left w:val="single" w:sz="5" w:space="0" w:color="000000"/>
              <w:bottom w:val="single" w:sz="5" w:space="0" w:color="000000"/>
              <w:right w:val="single" w:sz="5" w:space="0" w:color="000000"/>
            </w:tcBorders>
          </w:tcPr>
          <w:p w14:paraId="63126AD0" w14:textId="77777777" w:rsidR="00EE4BF0" w:rsidRPr="00E85D55" w:rsidRDefault="00EE4BF0" w:rsidP="007D1DAE">
            <w:pPr>
              <w:pStyle w:val="Default"/>
              <w:spacing w:line="480" w:lineRule="auto"/>
              <w:jc w:val="both"/>
              <w:rPr>
                <w:rFonts w:ascii="Times New Roman" w:eastAsiaTheme="majorEastAsia" w:hAnsi="Times New Roman" w:cs="Times New Roman"/>
                <w:color w:val="auto"/>
                <w:sz w:val="20"/>
                <w:szCs w:val="20"/>
              </w:rPr>
            </w:pPr>
            <w:r w:rsidRPr="00E85D55">
              <w:rPr>
                <w:rFonts w:ascii="Times New Roman" w:hAnsi="Times New Roman" w:cs="Times New Roman"/>
                <w:color w:val="auto"/>
                <w:sz w:val="20"/>
                <w:szCs w:val="20"/>
              </w:rPr>
              <w:lastRenderedPageBreak/>
              <w:t>3</w:t>
            </w:r>
          </w:p>
        </w:tc>
      </w:tr>
      <w:tr w:rsidR="00EE4BF0" w:rsidRPr="00E85D55" w14:paraId="23D77EF7" w14:textId="77777777" w:rsidTr="007D1DAE">
        <w:trPr>
          <w:trHeight w:val="578"/>
        </w:trPr>
        <w:tc>
          <w:tcPr>
            <w:tcW w:w="2773" w:type="dxa"/>
            <w:tcBorders>
              <w:top w:val="single" w:sz="5" w:space="0" w:color="000000"/>
              <w:left w:val="single" w:sz="5" w:space="0" w:color="000000"/>
              <w:bottom w:val="single" w:sz="5" w:space="0" w:color="000000"/>
              <w:right w:val="single" w:sz="5" w:space="0" w:color="000000"/>
            </w:tcBorders>
          </w:tcPr>
          <w:p w14:paraId="7FA291A2"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Eligibility criteria </w:t>
            </w:r>
          </w:p>
        </w:tc>
        <w:tc>
          <w:tcPr>
            <w:tcW w:w="538" w:type="dxa"/>
            <w:tcBorders>
              <w:top w:val="single" w:sz="5" w:space="0" w:color="000000"/>
              <w:left w:val="single" w:sz="5" w:space="0" w:color="000000"/>
              <w:bottom w:val="single" w:sz="5" w:space="0" w:color="000000"/>
              <w:right w:val="single" w:sz="5" w:space="0" w:color="000000"/>
            </w:tcBorders>
          </w:tcPr>
          <w:p w14:paraId="1AB9DE54"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6</w:t>
            </w:r>
          </w:p>
        </w:tc>
        <w:tc>
          <w:tcPr>
            <w:tcW w:w="10419" w:type="dxa"/>
            <w:tcBorders>
              <w:top w:val="single" w:sz="5" w:space="0" w:color="000000"/>
              <w:left w:val="single" w:sz="5" w:space="0" w:color="000000"/>
              <w:bottom w:val="single" w:sz="5" w:space="0" w:color="000000"/>
              <w:right w:val="single" w:sz="5" w:space="0" w:color="000000"/>
            </w:tcBorders>
          </w:tcPr>
          <w:p w14:paraId="6792F456"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470" w:type="dxa"/>
            <w:tcBorders>
              <w:top w:val="single" w:sz="5" w:space="0" w:color="000000"/>
              <w:left w:val="single" w:sz="5" w:space="0" w:color="000000"/>
              <w:bottom w:val="single" w:sz="5" w:space="0" w:color="000000"/>
              <w:right w:val="single" w:sz="5" w:space="0" w:color="000000"/>
            </w:tcBorders>
          </w:tcPr>
          <w:p w14:paraId="0BB46D73" w14:textId="77777777" w:rsidR="00EE4BF0" w:rsidRPr="00E85D55" w:rsidRDefault="00EE4BF0" w:rsidP="007D1DAE">
            <w:pPr>
              <w:pStyle w:val="Default"/>
              <w:spacing w:line="480" w:lineRule="auto"/>
              <w:jc w:val="both"/>
              <w:rPr>
                <w:rFonts w:ascii="Times New Roman" w:eastAsiaTheme="majorEastAsia" w:hAnsi="Times New Roman" w:cs="Times New Roman"/>
                <w:color w:val="auto"/>
                <w:sz w:val="20"/>
                <w:szCs w:val="20"/>
              </w:rPr>
            </w:pPr>
            <w:r w:rsidRPr="00E85D55">
              <w:rPr>
                <w:rFonts w:ascii="Times New Roman" w:hAnsi="Times New Roman" w:cs="Times New Roman"/>
                <w:color w:val="auto"/>
                <w:sz w:val="20"/>
                <w:szCs w:val="20"/>
              </w:rPr>
              <w:t>4</w:t>
            </w:r>
          </w:p>
        </w:tc>
      </w:tr>
      <w:tr w:rsidR="00EE4BF0" w:rsidRPr="00E85D55" w14:paraId="5F9A6CC8" w14:textId="77777777" w:rsidTr="007D1DAE">
        <w:trPr>
          <w:trHeight w:val="578"/>
        </w:trPr>
        <w:tc>
          <w:tcPr>
            <w:tcW w:w="2773" w:type="dxa"/>
            <w:tcBorders>
              <w:top w:val="single" w:sz="5" w:space="0" w:color="000000"/>
              <w:left w:val="single" w:sz="5" w:space="0" w:color="000000"/>
              <w:bottom w:val="single" w:sz="5" w:space="0" w:color="000000"/>
              <w:right w:val="single" w:sz="5" w:space="0" w:color="000000"/>
            </w:tcBorders>
          </w:tcPr>
          <w:p w14:paraId="1D2E8753"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Information sources </w:t>
            </w:r>
          </w:p>
        </w:tc>
        <w:tc>
          <w:tcPr>
            <w:tcW w:w="538" w:type="dxa"/>
            <w:tcBorders>
              <w:top w:val="single" w:sz="5" w:space="0" w:color="000000"/>
              <w:left w:val="single" w:sz="5" w:space="0" w:color="000000"/>
              <w:bottom w:val="single" w:sz="5" w:space="0" w:color="000000"/>
              <w:right w:val="single" w:sz="5" w:space="0" w:color="000000"/>
            </w:tcBorders>
          </w:tcPr>
          <w:p w14:paraId="1D0A3A78"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7</w:t>
            </w:r>
          </w:p>
        </w:tc>
        <w:tc>
          <w:tcPr>
            <w:tcW w:w="10419" w:type="dxa"/>
            <w:tcBorders>
              <w:top w:val="single" w:sz="5" w:space="0" w:color="000000"/>
              <w:left w:val="single" w:sz="5" w:space="0" w:color="000000"/>
              <w:bottom w:val="single" w:sz="5" w:space="0" w:color="000000"/>
              <w:right w:val="single" w:sz="5" w:space="0" w:color="000000"/>
            </w:tcBorders>
          </w:tcPr>
          <w:p w14:paraId="2C71D3BA"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470" w:type="dxa"/>
            <w:tcBorders>
              <w:top w:val="single" w:sz="5" w:space="0" w:color="000000"/>
              <w:left w:val="single" w:sz="5" w:space="0" w:color="000000"/>
              <w:bottom w:val="single" w:sz="5" w:space="0" w:color="000000"/>
              <w:right w:val="single" w:sz="5" w:space="0" w:color="000000"/>
            </w:tcBorders>
          </w:tcPr>
          <w:p w14:paraId="25D46103" w14:textId="77777777" w:rsidR="00EE4BF0" w:rsidRPr="00E85D55" w:rsidRDefault="00EE4BF0" w:rsidP="007D1DAE">
            <w:pPr>
              <w:pStyle w:val="Default"/>
              <w:spacing w:line="480" w:lineRule="auto"/>
              <w:jc w:val="both"/>
              <w:rPr>
                <w:rFonts w:ascii="Times New Roman" w:eastAsiaTheme="majorEastAsia" w:hAnsi="Times New Roman" w:cs="Times New Roman"/>
                <w:color w:val="auto"/>
                <w:sz w:val="20"/>
                <w:szCs w:val="20"/>
              </w:rPr>
            </w:pPr>
            <w:r w:rsidRPr="00E85D55">
              <w:rPr>
                <w:rFonts w:ascii="Times New Roman" w:hAnsi="Times New Roman" w:cs="Times New Roman"/>
                <w:color w:val="auto"/>
                <w:sz w:val="20"/>
                <w:szCs w:val="20"/>
              </w:rPr>
              <w:t>4</w:t>
            </w:r>
          </w:p>
        </w:tc>
      </w:tr>
      <w:tr w:rsidR="00EE4BF0" w:rsidRPr="00E85D55" w14:paraId="071BA39C" w14:textId="77777777" w:rsidTr="007D1DAE">
        <w:trPr>
          <w:trHeight w:val="578"/>
        </w:trPr>
        <w:tc>
          <w:tcPr>
            <w:tcW w:w="2773" w:type="dxa"/>
            <w:tcBorders>
              <w:top w:val="single" w:sz="5" w:space="0" w:color="000000"/>
              <w:left w:val="single" w:sz="5" w:space="0" w:color="000000"/>
              <w:bottom w:val="single" w:sz="5" w:space="0" w:color="000000"/>
              <w:right w:val="single" w:sz="5" w:space="0" w:color="000000"/>
            </w:tcBorders>
          </w:tcPr>
          <w:p w14:paraId="424C1371"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Search </w:t>
            </w:r>
          </w:p>
        </w:tc>
        <w:tc>
          <w:tcPr>
            <w:tcW w:w="538" w:type="dxa"/>
            <w:tcBorders>
              <w:top w:val="single" w:sz="5" w:space="0" w:color="000000"/>
              <w:left w:val="single" w:sz="5" w:space="0" w:color="000000"/>
              <w:bottom w:val="single" w:sz="5" w:space="0" w:color="000000"/>
              <w:right w:val="single" w:sz="5" w:space="0" w:color="000000"/>
            </w:tcBorders>
          </w:tcPr>
          <w:p w14:paraId="7B92A745"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8</w:t>
            </w:r>
          </w:p>
        </w:tc>
        <w:tc>
          <w:tcPr>
            <w:tcW w:w="10419" w:type="dxa"/>
            <w:tcBorders>
              <w:top w:val="single" w:sz="5" w:space="0" w:color="000000"/>
              <w:left w:val="single" w:sz="5" w:space="0" w:color="000000"/>
              <w:bottom w:val="single" w:sz="5" w:space="0" w:color="000000"/>
              <w:right w:val="single" w:sz="5" w:space="0" w:color="000000"/>
            </w:tcBorders>
          </w:tcPr>
          <w:p w14:paraId="4427FE5F"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Present full electronic search strategy for at least one database, including any limits used, such that it could be repeated. </w:t>
            </w:r>
          </w:p>
        </w:tc>
        <w:tc>
          <w:tcPr>
            <w:tcW w:w="1470" w:type="dxa"/>
            <w:tcBorders>
              <w:top w:val="single" w:sz="5" w:space="0" w:color="000000"/>
              <w:left w:val="single" w:sz="5" w:space="0" w:color="000000"/>
              <w:bottom w:val="single" w:sz="5" w:space="0" w:color="000000"/>
              <w:right w:val="single" w:sz="5" w:space="0" w:color="000000"/>
            </w:tcBorders>
          </w:tcPr>
          <w:p w14:paraId="4D56698A" w14:textId="77777777" w:rsidR="00EE4BF0" w:rsidRPr="00E85D55" w:rsidRDefault="00EE4BF0" w:rsidP="007D1DAE">
            <w:pPr>
              <w:pStyle w:val="Default"/>
              <w:spacing w:line="480" w:lineRule="auto"/>
              <w:jc w:val="both"/>
              <w:rPr>
                <w:rFonts w:ascii="Times New Roman" w:eastAsia="Calibri" w:hAnsi="Times New Roman" w:cs="Times New Roman"/>
                <w:color w:val="auto"/>
                <w:sz w:val="20"/>
                <w:szCs w:val="20"/>
              </w:rPr>
            </w:pPr>
            <w:r w:rsidRPr="00E85D55">
              <w:rPr>
                <w:rFonts w:ascii="Times New Roman" w:eastAsia="Calibri" w:hAnsi="Times New Roman" w:cs="Times New Roman"/>
                <w:color w:val="auto"/>
                <w:sz w:val="20"/>
                <w:szCs w:val="20"/>
              </w:rPr>
              <w:t>Appendix 2</w:t>
            </w:r>
          </w:p>
        </w:tc>
      </w:tr>
      <w:tr w:rsidR="00EE4BF0" w:rsidRPr="00E85D55" w14:paraId="35542817" w14:textId="77777777" w:rsidTr="007D1DAE">
        <w:trPr>
          <w:trHeight w:val="578"/>
        </w:trPr>
        <w:tc>
          <w:tcPr>
            <w:tcW w:w="2773" w:type="dxa"/>
            <w:tcBorders>
              <w:top w:val="single" w:sz="5" w:space="0" w:color="000000"/>
              <w:left w:val="single" w:sz="5" w:space="0" w:color="000000"/>
              <w:bottom w:val="single" w:sz="5" w:space="0" w:color="000000"/>
              <w:right w:val="single" w:sz="5" w:space="0" w:color="000000"/>
            </w:tcBorders>
          </w:tcPr>
          <w:p w14:paraId="4A604E4B"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14:paraId="6BA87D0B"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9</w:t>
            </w:r>
          </w:p>
        </w:tc>
        <w:tc>
          <w:tcPr>
            <w:tcW w:w="10419" w:type="dxa"/>
            <w:tcBorders>
              <w:top w:val="single" w:sz="5" w:space="0" w:color="000000"/>
              <w:left w:val="single" w:sz="5" w:space="0" w:color="000000"/>
              <w:bottom w:val="single" w:sz="5" w:space="0" w:color="000000"/>
              <w:right w:val="single" w:sz="5" w:space="0" w:color="000000"/>
            </w:tcBorders>
          </w:tcPr>
          <w:p w14:paraId="39D1FB1E"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470" w:type="dxa"/>
            <w:tcBorders>
              <w:top w:val="single" w:sz="5" w:space="0" w:color="000000"/>
              <w:left w:val="single" w:sz="5" w:space="0" w:color="000000"/>
              <w:bottom w:val="single" w:sz="5" w:space="0" w:color="000000"/>
              <w:right w:val="single" w:sz="5" w:space="0" w:color="000000"/>
            </w:tcBorders>
          </w:tcPr>
          <w:p w14:paraId="479B8BEF" w14:textId="77777777" w:rsidR="00EE4BF0" w:rsidRPr="00E85D55" w:rsidRDefault="00EE4BF0" w:rsidP="007D1DAE">
            <w:pPr>
              <w:pStyle w:val="Default"/>
              <w:spacing w:line="480" w:lineRule="auto"/>
              <w:jc w:val="both"/>
              <w:rPr>
                <w:rFonts w:ascii="Times New Roman" w:eastAsiaTheme="majorEastAsia" w:hAnsi="Times New Roman" w:cs="Times New Roman"/>
                <w:color w:val="auto"/>
                <w:sz w:val="20"/>
                <w:szCs w:val="20"/>
              </w:rPr>
            </w:pPr>
            <w:r w:rsidRPr="00E85D55">
              <w:rPr>
                <w:rFonts w:ascii="Times New Roman" w:hAnsi="Times New Roman" w:cs="Times New Roman"/>
                <w:color w:val="auto"/>
                <w:sz w:val="20"/>
                <w:szCs w:val="20"/>
              </w:rPr>
              <w:t>5/6</w:t>
            </w:r>
          </w:p>
        </w:tc>
      </w:tr>
      <w:tr w:rsidR="00EE4BF0" w:rsidRPr="00E85D55" w14:paraId="1607E25B" w14:textId="77777777" w:rsidTr="007D1DAE">
        <w:trPr>
          <w:trHeight w:val="578"/>
        </w:trPr>
        <w:tc>
          <w:tcPr>
            <w:tcW w:w="2773" w:type="dxa"/>
            <w:tcBorders>
              <w:top w:val="single" w:sz="5" w:space="0" w:color="000000"/>
              <w:left w:val="single" w:sz="5" w:space="0" w:color="000000"/>
              <w:bottom w:val="single" w:sz="5" w:space="0" w:color="000000"/>
              <w:right w:val="single" w:sz="5" w:space="0" w:color="000000"/>
            </w:tcBorders>
          </w:tcPr>
          <w:p w14:paraId="7892D324"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Data collection process </w:t>
            </w:r>
          </w:p>
        </w:tc>
        <w:tc>
          <w:tcPr>
            <w:tcW w:w="538" w:type="dxa"/>
            <w:tcBorders>
              <w:top w:val="single" w:sz="5" w:space="0" w:color="000000"/>
              <w:left w:val="single" w:sz="5" w:space="0" w:color="000000"/>
              <w:bottom w:val="single" w:sz="5" w:space="0" w:color="000000"/>
              <w:right w:val="single" w:sz="5" w:space="0" w:color="000000"/>
            </w:tcBorders>
          </w:tcPr>
          <w:p w14:paraId="33BB15A6"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10</w:t>
            </w:r>
          </w:p>
        </w:tc>
        <w:tc>
          <w:tcPr>
            <w:tcW w:w="10419" w:type="dxa"/>
            <w:tcBorders>
              <w:top w:val="single" w:sz="5" w:space="0" w:color="000000"/>
              <w:left w:val="single" w:sz="5" w:space="0" w:color="000000"/>
              <w:bottom w:val="single" w:sz="5" w:space="0" w:color="000000"/>
              <w:right w:val="single" w:sz="5" w:space="0" w:color="000000"/>
            </w:tcBorders>
          </w:tcPr>
          <w:p w14:paraId="2B3A47AA"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470" w:type="dxa"/>
            <w:tcBorders>
              <w:top w:val="single" w:sz="5" w:space="0" w:color="000000"/>
              <w:left w:val="single" w:sz="5" w:space="0" w:color="000000"/>
              <w:bottom w:val="single" w:sz="5" w:space="0" w:color="000000"/>
              <w:right w:val="single" w:sz="5" w:space="0" w:color="000000"/>
            </w:tcBorders>
          </w:tcPr>
          <w:p w14:paraId="75DC0DBC" w14:textId="77777777" w:rsidR="00EE4BF0" w:rsidRPr="00E85D55" w:rsidRDefault="00EE4BF0" w:rsidP="007D1DAE">
            <w:pPr>
              <w:pStyle w:val="Default"/>
              <w:spacing w:line="480" w:lineRule="auto"/>
              <w:jc w:val="both"/>
              <w:rPr>
                <w:rFonts w:ascii="Times New Roman" w:eastAsiaTheme="majorEastAsia" w:hAnsi="Times New Roman" w:cs="Times New Roman"/>
                <w:color w:val="auto"/>
                <w:sz w:val="20"/>
                <w:szCs w:val="20"/>
              </w:rPr>
            </w:pPr>
            <w:r w:rsidRPr="00E85D55">
              <w:rPr>
                <w:rFonts w:ascii="Times New Roman" w:hAnsi="Times New Roman" w:cs="Times New Roman"/>
                <w:color w:val="auto"/>
                <w:sz w:val="20"/>
                <w:szCs w:val="20"/>
              </w:rPr>
              <w:t>NA</w:t>
            </w:r>
          </w:p>
        </w:tc>
      </w:tr>
      <w:tr w:rsidR="00EE4BF0" w:rsidRPr="00E85D55" w14:paraId="320F49F4" w14:textId="77777777" w:rsidTr="007D1DAE">
        <w:trPr>
          <w:trHeight w:val="578"/>
        </w:trPr>
        <w:tc>
          <w:tcPr>
            <w:tcW w:w="2773" w:type="dxa"/>
            <w:tcBorders>
              <w:top w:val="single" w:sz="5" w:space="0" w:color="000000"/>
              <w:left w:val="single" w:sz="5" w:space="0" w:color="000000"/>
              <w:bottom w:val="single" w:sz="5" w:space="0" w:color="000000"/>
              <w:right w:val="single" w:sz="5" w:space="0" w:color="000000"/>
            </w:tcBorders>
          </w:tcPr>
          <w:p w14:paraId="478376AE"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Data items </w:t>
            </w:r>
          </w:p>
        </w:tc>
        <w:tc>
          <w:tcPr>
            <w:tcW w:w="538" w:type="dxa"/>
            <w:tcBorders>
              <w:top w:val="single" w:sz="5" w:space="0" w:color="000000"/>
              <w:left w:val="single" w:sz="5" w:space="0" w:color="000000"/>
              <w:bottom w:val="single" w:sz="5" w:space="0" w:color="000000"/>
              <w:right w:val="single" w:sz="5" w:space="0" w:color="000000"/>
            </w:tcBorders>
          </w:tcPr>
          <w:p w14:paraId="196CBED7"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11</w:t>
            </w:r>
          </w:p>
        </w:tc>
        <w:tc>
          <w:tcPr>
            <w:tcW w:w="10419" w:type="dxa"/>
            <w:tcBorders>
              <w:top w:val="single" w:sz="5" w:space="0" w:color="000000"/>
              <w:left w:val="single" w:sz="5" w:space="0" w:color="000000"/>
              <w:bottom w:val="single" w:sz="5" w:space="0" w:color="000000"/>
              <w:right w:val="single" w:sz="5" w:space="0" w:color="000000"/>
            </w:tcBorders>
          </w:tcPr>
          <w:p w14:paraId="7BE1F879"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470" w:type="dxa"/>
            <w:tcBorders>
              <w:top w:val="single" w:sz="5" w:space="0" w:color="000000"/>
              <w:left w:val="single" w:sz="5" w:space="0" w:color="000000"/>
              <w:bottom w:val="single" w:sz="5" w:space="0" w:color="000000"/>
              <w:right w:val="single" w:sz="5" w:space="0" w:color="000000"/>
            </w:tcBorders>
          </w:tcPr>
          <w:p w14:paraId="270626E8" w14:textId="77777777" w:rsidR="00EE4BF0" w:rsidRPr="00E85D55" w:rsidRDefault="00EE4BF0" w:rsidP="007D1DAE">
            <w:pPr>
              <w:pStyle w:val="Default"/>
              <w:spacing w:line="480" w:lineRule="auto"/>
              <w:jc w:val="both"/>
              <w:rPr>
                <w:rFonts w:ascii="Times New Roman" w:eastAsiaTheme="majorEastAsia" w:hAnsi="Times New Roman" w:cs="Times New Roman"/>
                <w:color w:val="auto"/>
                <w:sz w:val="20"/>
                <w:szCs w:val="20"/>
              </w:rPr>
            </w:pPr>
            <w:r w:rsidRPr="00E85D55">
              <w:rPr>
                <w:rFonts w:ascii="Times New Roman" w:hAnsi="Times New Roman" w:cs="Times New Roman"/>
                <w:color w:val="auto"/>
                <w:sz w:val="20"/>
                <w:szCs w:val="20"/>
              </w:rPr>
              <w:t>NA</w:t>
            </w:r>
          </w:p>
        </w:tc>
      </w:tr>
      <w:tr w:rsidR="00EE4BF0" w:rsidRPr="00E85D55" w14:paraId="6EF4A45D" w14:textId="77777777" w:rsidTr="007D1DAE">
        <w:trPr>
          <w:trHeight w:val="578"/>
        </w:trPr>
        <w:tc>
          <w:tcPr>
            <w:tcW w:w="2773" w:type="dxa"/>
            <w:tcBorders>
              <w:top w:val="single" w:sz="5" w:space="0" w:color="000000"/>
              <w:left w:val="single" w:sz="5" w:space="0" w:color="000000"/>
              <w:bottom w:val="single" w:sz="5" w:space="0" w:color="000000"/>
              <w:right w:val="single" w:sz="5" w:space="0" w:color="000000"/>
            </w:tcBorders>
          </w:tcPr>
          <w:p w14:paraId="0F94EDE9"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Risk of bias in individual studies </w:t>
            </w:r>
          </w:p>
        </w:tc>
        <w:tc>
          <w:tcPr>
            <w:tcW w:w="538" w:type="dxa"/>
            <w:tcBorders>
              <w:top w:val="single" w:sz="5" w:space="0" w:color="000000"/>
              <w:left w:val="single" w:sz="5" w:space="0" w:color="000000"/>
              <w:bottom w:val="single" w:sz="5" w:space="0" w:color="000000"/>
              <w:right w:val="single" w:sz="5" w:space="0" w:color="000000"/>
            </w:tcBorders>
          </w:tcPr>
          <w:p w14:paraId="5F77B612"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12</w:t>
            </w:r>
          </w:p>
        </w:tc>
        <w:tc>
          <w:tcPr>
            <w:tcW w:w="10419" w:type="dxa"/>
            <w:tcBorders>
              <w:top w:val="single" w:sz="5" w:space="0" w:color="000000"/>
              <w:left w:val="single" w:sz="5" w:space="0" w:color="000000"/>
              <w:bottom w:val="single" w:sz="5" w:space="0" w:color="000000"/>
              <w:right w:val="single" w:sz="5" w:space="0" w:color="000000"/>
            </w:tcBorders>
          </w:tcPr>
          <w:p w14:paraId="0E90B3BF"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470" w:type="dxa"/>
            <w:tcBorders>
              <w:top w:val="single" w:sz="5" w:space="0" w:color="000000"/>
              <w:left w:val="single" w:sz="5" w:space="0" w:color="000000"/>
              <w:bottom w:val="single" w:sz="5" w:space="0" w:color="000000"/>
              <w:right w:val="single" w:sz="5" w:space="0" w:color="000000"/>
            </w:tcBorders>
          </w:tcPr>
          <w:p w14:paraId="604C6CBE" w14:textId="77777777" w:rsidR="00EE4BF0" w:rsidRPr="00E85D55" w:rsidRDefault="00EE4BF0" w:rsidP="007D1DAE">
            <w:pPr>
              <w:pStyle w:val="Default"/>
              <w:spacing w:line="480" w:lineRule="auto"/>
              <w:jc w:val="both"/>
              <w:rPr>
                <w:rFonts w:ascii="Times New Roman" w:eastAsiaTheme="majorEastAsia" w:hAnsi="Times New Roman" w:cs="Times New Roman"/>
                <w:color w:val="auto"/>
                <w:sz w:val="20"/>
                <w:szCs w:val="20"/>
              </w:rPr>
            </w:pPr>
            <w:r w:rsidRPr="00E85D55">
              <w:rPr>
                <w:rFonts w:ascii="Times New Roman" w:hAnsi="Times New Roman" w:cs="Times New Roman"/>
                <w:color w:val="auto"/>
                <w:sz w:val="20"/>
                <w:szCs w:val="20"/>
              </w:rPr>
              <w:t>6/7</w:t>
            </w:r>
          </w:p>
        </w:tc>
      </w:tr>
      <w:tr w:rsidR="00EE4BF0" w:rsidRPr="00E85D55" w14:paraId="13D5D5F5" w14:textId="77777777" w:rsidTr="007D1DAE">
        <w:trPr>
          <w:trHeight w:val="333"/>
        </w:trPr>
        <w:tc>
          <w:tcPr>
            <w:tcW w:w="2773" w:type="dxa"/>
            <w:tcBorders>
              <w:top w:val="single" w:sz="5" w:space="0" w:color="000000"/>
              <w:left w:val="single" w:sz="5" w:space="0" w:color="000000"/>
              <w:bottom w:val="single" w:sz="5" w:space="0" w:color="000000"/>
              <w:right w:val="single" w:sz="5" w:space="0" w:color="000000"/>
            </w:tcBorders>
          </w:tcPr>
          <w:p w14:paraId="3A5280D7"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Summary measures </w:t>
            </w:r>
          </w:p>
        </w:tc>
        <w:tc>
          <w:tcPr>
            <w:tcW w:w="538" w:type="dxa"/>
            <w:tcBorders>
              <w:top w:val="single" w:sz="5" w:space="0" w:color="000000"/>
              <w:left w:val="single" w:sz="5" w:space="0" w:color="000000"/>
              <w:bottom w:val="single" w:sz="5" w:space="0" w:color="000000"/>
              <w:right w:val="single" w:sz="5" w:space="0" w:color="000000"/>
            </w:tcBorders>
          </w:tcPr>
          <w:p w14:paraId="0A259818"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13</w:t>
            </w:r>
          </w:p>
        </w:tc>
        <w:tc>
          <w:tcPr>
            <w:tcW w:w="10419" w:type="dxa"/>
            <w:tcBorders>
              <w:top w:val="single" w:sz="5" w:space="0" w:color="000000"/>
              <w:left w:val="single" w:sz="5" w:space="0" w:color="000000"/>
              <w:bottom w:val="single" w:sz="5" w:space="0" w:color="000000"/>
              <w:right w:val="single" w:sz="5" w:space="0" w:color="000000"/>
            </w:tcBorders>
          </w:tcPr>
          <w:p w14:paraId="5F4877FB"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State the principal summary measures (e.g., risk ratio, difference in means). </w:t>
            </w:r>
          </w:p>
        </w:tc>
        <w:tc>
          <w:tcPr>
            <w:tcW w:w="1470" w:type="dxa"/>
            <w:tcBorders>
              <w:top w:val="single" w:sz="5" w:space="0" w:color="000000"/>
              <w:left w:val="single" w:sz="5" w:space="0" w:color="000000"/>
              <w:bottom w:val="single" w:sz="5" w:space="0" w:color="000000"/>
              <w:right w:val="single" w:sz="5" w:space="0" w:color="000000"/>
            </w:tcBorders>
          </w:tcPr>
          <w:p w14:paraId="7A2FB8EA" w14:textId="77777777" w:rsidR="00EE4BF0" w:rsidRPr="00E85D55" w:rsidRDefault="00EE4BF0" w:rsidP="007D1DAE">
            <w:pPr>
              <w:pStyle w:val="Default"/>
              <w:spacing w:line="480" w:lineRule="auto"/>
              <w:jc w:val="both"/>
              <w:rPr>
                <w:rFonts w:ascii="Times New Roman" w:eastAsiaTheme="majorEastAsia" w:hAnsi="Times New Roman" w:cs="Times New Roman"/>
                <w:color w:val="auto"/>
                <w:sz w:val="20"/>
                <w:szCs w:val="20"/>
              </w:rPr>
            </w:pPr>
            <w:r w:rsidRPr="00E85D55">
              <w:rPr>
                <w:rFonts w:ascii="Times New Roman" w:hAnsi="Times New Roman" w:cs="Times New Roman"/>
                <w:color w:val="auto"/>
                <w:sz w:val="20"/>
                <w:szCs w:val="20"/>
              </w:rPr>
              <w:t>6</w:t>
            </w:r>
          </w:p>
        </w:tc>
      </w:tr>
      <w:tr w:rsidR="00EE4BF0" w:rsidRPr="00E85D55" w14:paraId="68F507C7" w14:textId="77777777" w:rsidTr="007D1DAE">
        <w:trPr>
          <w:trHeight w:val="580"/>
        </w:trPr>
        <w:tc>
          <w:tcPr>
            <w:tcW w:w="2773" w:type="dxa"/>
            <w:tcBorders>
              <w:top w:val="single" w:sz="5" w:space="0" w:color="000000"/>
              <w:left w:val="single" w:sz="5" w:space="0" w:color="000000"/>
              <w:bottom w:val="single" w:sz="5" w:space="0" w:color="000000"/>
              <w:right w:val="single" w:sz="5" w:space="0" w:color="000000"/>
            </w:tcBorders>
          </w:tcPr>
          <w:p w14:paraId="0D7DCFAE"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14:paraId="2E94F81D"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14</w:t>
            </w:r>
          </w:p>
        </w:tc>
        <w:tc>
          <w:tcPr>
            <w:tcW w:w="10419" w:type="dxa"/>
            <w:tcBorders>
              <w:top w:val="single" w:sz="5" w:space="0" w:color="000000"/>
              <w:left w:val="single" w:sz="5" w:space="0" w:color="000000"/>
              <w:bottom w:val="single" w:sz="5" w:space="0" w:color="000000"/>
              <w:right w:val="single" w:sz="5" w:space="0" w:color="000000"/>
            </w:tcBorders>
          </w:tcPr>
          <w:p w14:paraId="23FF4954" w14:textId="77777777" w:rsidR="00EE4BF0" w:rsidRPr="00E85D55" w:rsidRDefault="00EE4BF0" w:rsidP="007D1DAE">
            <w:pPr>
              <w:pStyle w:val="Default"/>
              <w:spacing w:line="480" w:lineRule="auto"/>
              <w:jc w:val="both"/>
              <w:rPr>
                <w:rFonts w:ascii="Times New Roman" w:eastAsiaTheme="majorEastAsia" w:hAnsi="Times New Roman" w:cs="Times New Roman"/>
                <w:sz w:val="20"/>
                <w:szCs w:val="20"/>
              </w:rPr>
            </w:pPr>
            <w:r w:rsidRPr="00E85D55">
              <w:rPr>
                <w:rFonts w:ascii="Times New Roman" w:hAnsi="Times New Roman" w:cs="Times New Roman"/>
                <w:sz w:val="20"/>
                <w:szCs w:val="20"/>
              </w:rPr>
              <w:t>Describe the methods of handling data and combining results of studies, if done, including measures of consistency (e.g., I</w:t>
            </w:r>
            <w:r w:rsidRPr="00E85D55">
              <w:rPr>
                <w:rFonts w:ascii="Times New Roman" w:hAnsi="Times New Roman" w:cs="Times New Roman"/>
                <w:sz w:val="20"/>
                <w:szCs w:val="20"/>
                <w:vertAlign w:val="superscript"/>
              </w:rPr>
              <w:t>2</w:t>
            </w:r>
            <w:r w:rsidRPr="00E85D55">
              <w:rPr>
                <w:rFonts w:ascii="Times New Roman" w:hAnsi="Times New Roman" w:cs="Times New Roman"/>
                <w:sz w:val="20"/>
                <w:szCs w:val="20"/>
              </w:rPr>
              <w:t xml:space="preserve">) for each meta-analysis. </w:t>
            </w:r>
          </w:p>
        </w:tc>
        <w:tc>
          <w:tcPr>
            <w:tcW w:w="1470" w:type="dxa"/>
            <w:tcBorders>
              <w:top w:val="single" w:sz="5" w:space="0" w:color="000000"/>
              <w:left w:val="single" w:sz="5" w:space="0" w:color="000000"/>
              <w:bottom w:val="single" w:sz="5" w:space="0" w:color="000000"/>
              <w:right w:val="single" w:sz="5" w:space="0" w:color="000000"/>
            </w:tcBorders>
          </w:tcPr>
          <w:p w14:paraId="13ACD85C" w14:textId="77777777" w:rsidR="00EE4BF0" w:rsidRPr="00E85D55" w:rsidRDefault="00EE4BF0" w:rsidP="007D1DAE">
            <w:pPr>
              <w:pStyle w:val="Default"/>
              <w:spacing w:line="480" w:lineRule="auto"/>
              <w:jc w:val="both"/>
              <w:rPr>
                <w:rFonts w:ascii="Times New Roman" w:eastAsiaTheme="majorEastAsia" w:hAnsi="Times New Roman" w:cs="Times New Roman"/>
                <w:color w:val="auto"/>
                <w:sz w:val="20"/>
                <w:szCs w:val="20"/>
              </w:rPr>
            </w:pPr>
            <w:r w:rsidRPr="00E85D55">
              <w:rPr>
                <w:rFonts w:ascii="Times New Roman" w:hAnsi="Times New Roman" w:cs="Times New Roman"/>
                <w:color w:val="auto"/>
                <w:sz w:val="20"/>
                <w:szCs w:val="20"/>
              </w:rPr>
              <w:t>N/A</w:t>
            </w:r>
          </w:p>
        </w:tc>
      </w:tr>
    </w:tbl>
    <w:p w14:paraId="1B384CA4" w14:textId="77777777" w:rsidR="00EE4BF0" w:rsidRPr="00E85D55" w:rsidRDefault="00EE4BF0" w:rsidP="00EE4BF0">
      <w:pPr>
        <w:spacing w:after="0" w:line="480" w:lineRule="auto"/>
        <w:jc w:val="both"/>
        <w:rPr>
          <w:rFonts w:ascii="Times New Roman" w:hAnsi="Times New Roman"/>
          <w:sz w:val="20"/>
          <w:szCs w:val="20"/>
          <w:lang w:val="en-US"/>
        </w:rPr>
      </w:pPr>
    </w:p>
    <w:p w14:paraId="59E0DFE8" w14:textId="77777777" w:rsidR="00EE4BF0" w:rsidRPr="00E85D55" w:rsidRDefault="00EE4BF0" w:rsidP="00EE4BF0">
      <w:pPr>
        <w:spacing w:after="0" w:line="480" w:lineRule="auto"/>
        <w:jc w:val="both"/>
        <w:rPr>
          <w:rFonts w:ascii="Times New Roman" w:hAnsi="Times New Roman"/>
          <w:sz w:val="20"/>
          <w:szCs w:val="20"/>
          <w:lang w:val="en-GB"/>
        </w:rPr>
        <w:sectPr w:rsidR="00EE4BF0" w:rsidRPr="00E85D55" w:rsidSect="00DA7610">
          <w:pgSz w:w="16840" w:h="11900" w:orient="landscape"/>
          <w:pgMar w:top="1417" w:right="1417" w:bottom="1417" w:left="1417" w:header="708" w:footer="708" w:gutter="0"/>
          <w:cols w:space="708"/>
          <w:docGrid w:linePitch="360"/>
        </w:sectPr>
      </w:pPr>
    </w:p>
    <w:p w14:paraId="22FAA731" w14:textId="77777777" w:rsidR="00EE4BF0" w:rsidRPr="00E85D55" w:rsidRDefault="00EE4BF0" w:rsidP="00EE4BF0">
      <w:pPr>
        <w:spacing w:after="0" w:line="480" w:lineRule="auto"/>
        <w:jc w:val="both"/>
        <w:rPr>
          <w:rFonts w:ascii="Times New Roman" w:hAnsi="Times New Roman"/>
          <w:b/>
          <w:sz w:val="20"/>
          <w:szCs w:val="20"/>
          <w:lang w:val="en-GB"/>
        </w:rPr>
      </w:pPr>
      <w:r w:rsidRPr="00E85D55">
        <w:rPr>
          <w:rFonts w:ascii="Times New Roman" w:hAnsi="Times New Roman"/>
          <w:b/>
          <w:sz w:val="20"/>
          <w:szCs w:val="20"/>
          <w:lang w:val="en-GB"/>
        </w:rPr>
        <w:lastRenderedPageBreak/>
        <w:t xml:space="preserve">Appendix </w:t>
      </w:r>
      <w:r>
        <w:rPr>
          <w:rFonts w:ascii="Times New Roman" w:hAnsi="Times New Roman"/>
          <w:b/>
          <w:sz w:val="20"/>
          <w:szCs w:val="20"/>
          <w:lang w:val="en-GB"/>
        </w:rPr>
        <w:t>A.</w:t>
      </w:r>
      <w:r w:rsidRPr="00E85D55">
        <w:rPr>
          <w:rFonts w:ascii="Times New Roman" w:hAnsi="Times New Roman"/>
          <w:b/>
          <w:sz w:val="20"/>
          <w:szCs w:val="20"/>
          <w:lang w:val="en-GB"/>
        </w:rPr>
        <w:t>2: details on search procedure</w:t>
      </w:r>
    </w:p>
    <w:p w14:paraId="04ECC976" w14:textId="77777777" w:rsidR="00EE4BF0" w:rsidRPr="00397FD3" w:rsidRDefault="00EE4BF0" w:rsidP="00EE4BF0">
      <w:pPr>
        <w:pStyle w:val="Paragraphedeliste"/>
        <w:numPr>
          <w:ilvl w:val="0"/>
          <w:numId w:val="10"/>
        </w:numPr>
        <w:spacing w:line="480" w:lineRule="auto"/>
        <w:jc w:val="both"/>
        <w:rPr>
          <w:rFonts w:ascii="Times New Roman" w:hAnsi="Times New Roman" w:cs="Times New Roman"/>
          <w:sz w:val="22"/>
          <w:szCs w:val="22"/>
          <w:lang w:val="en-GB"/>
        </w:rPr>
      </w:pPr>
      <w:r w:rsidRPr="00397FD3">
        <w:rPr>
          <w:rFonts w:ascii="Times New Roman" w:hAnsi="Times New Roman" w:cs="Times New Roman"/>
          <w:sz w:val="22"/>
          <w:szCs w:val="22"/>
          <w:lang w:val="en-GB"/>
        </w:rPr>
        <w:t>Web of Science</w:t>
      </w:r>
    </w:p>
    <w:p w14:paraId="0AF9725C" w14:textId="77777777" w:rsidR="00EE4BF0" w:rsidRPr="00397FD3" w:rsidRDefault="00EE4BF0" w:rsidP="00EE4BF0">
      <w:pPr>
        <w:spacing w:after="0" w:line="480" w:lineRule="auto"/>
        <w:rPr>
          <w:rFonts w:ascii="Times New Roman" w:hAnsi="Times New Roman"/>
          <w:lang w:val="en-US"/>
        </w:rPr>
      </w:pPr>
      <w:r w:rsidRPr="00397FD3">
        <w:rPr>
          <w:rFonts w:ascii="Times New Roman" w:hAnsi="Times New Roman"/>
          <w:lang w:val="en-US"/>
        </w:rPr>
        <w:t xml:space="preserve">In “Advanced research” : </w:t>
      </w:r>
    </w:p>
    <w:p w14:paraId="1EA4F9A2" w14:textId="77777777" w:rsidR="00EE4BF0" w:rsidRPr="00397FD3" w:rsidRDefault="00EE4BF0" w:rsidP="00EE4BF0">
      <w:pPr>
        <w:spacing w:after="0" w:line="480" w:lineRule="auto"/>
        <w:rPr>
          <w:rFonts w:ascii="Times New Roman" w:hAnsi="Times New Roman"/>
          <w:lang w:val="en-US"/>
        </w:rPr>
      </w:pPr>
      <w:r w:rsidRPr="00397FD3">
        <w:rPr>
          <w:rFonts w:ascii="Times New Roman" w:hAnsi="Times New Roman"/>
          <w:lang w:val="en-US"/>
        </w:rPr>
        <w:t>TS=((Frail* OR pre-frail OR sarcopenia) AND (("long term care" OR "home care" OR "home help" OR "home services" OR "community services" OR formal care OR home nurse OR care worker OR informal care OR nursing home OR institution) AND (use OR utilization OR visit OR consumption)))</w:t>
      </w:r>
    </w:p>
    <w:p w14:paraId="3A0976E5" w14:textId="77777777" w:rsidR="00EE4BF0" w:rsidRPr="00397FD3" w:rsidRDefault="00EE4BF0" w:rsidP="00EE4BF0">
      <w:pPr>
        <w:spacing w:after="0" w:line="480" w:lineRule="auto"/>
        <w:rPr>
          <w:rFonts w:ascii="Times New Roman" w:hAnsi="Times New Roman"/>
          <w:lang w:val="en-US"/>
        </w:rPr>
      </w:pPr>
    </w:p>
    <w:p w14:paraId="18230E21" w14:textId="77777777" w:rsidR="00EE4BF0" w:rsidRPr="00397FD3" w:rsidRDefault="00EE4BF0" w:rsidP="00EE4BF0">
      <w:pPr>
        <w:spacing w:after="0" w:line="480" w:lineRule="auto"/>
        <w:rPr>
          <w:rFonts w:ascii="Times New Roman" w:hAnsi="Times New Roman"/>
          <w:lang w:val="en-US"/>
        </w:rPr>
      </w:pPr>
      <w:r w:rsidRPr="00397FD3">
        <w:rPr>
          <w:rFonts w:ascii="Times New Roman" w:hAnsi="Times New Roman"/>
          <w:lang w:val="en-US"/>
        </w:rPr>
        <w:t>Additional configuration:</w:t>
      </w:r>
    </w:p>
    <w:p w14:paraId="13E1C0C9" w14:textId="77777777" w:rsidR="00EE4BF0" w:rsidRPr="00397FD3" w:rsidRDefault="00EE4BF0" w:rsidP="00EE4BF0">
      <w:pPr>
        <w:pStyle w:val="Paragraphedeliste"/>
        <w:numPr>
          <w:ilvl w:val="0"/>
          <w:numId w:val="13"/>
        </w:numPr>
        <w:spacing w:line="480" w:lineRule="auto"/>
        <w:rPr>
          <w:rFonts w:ascii="Times New Roman" w:hAnsi="Times New Roman" w:cs="Times New Roman"/>
          <w:sz w:val="22"/>
          <w:szCs w:val="22"/>
          <w:lang w:val="en-US"/>
        </w:rPr>
      </w:pPr>
      <w:r w:rsidRPr="00397FD3">
        <w:rPr>
          <w:rFonts w:ascii="Times New Roman" w:hAnsi="Times New Roman" w:cs="Times New Roman"/>
          <w:sz w:val="22"/>
          <w:szCs w:val="22"/>
          <w:lang w:val="en-US"/>
        </w:rPr>
        <w:t>Restrict results to English (language) and document types (articles).</w:t>
      </w:r>
    </w:p>
    <w:p w14:paraId="56ADACB8" w14:textId="77777777" w:rsidR="00EE4BF0" w:rsidRPr="00397FD3" w:rsidRDefault="00EE4BF0" w:rsidP="00EE4BF0">
      <w:pPr>
        <w:pStyle w:val="Paragraphedeliste"/>
        <w:numPr>
          <w:ilvl w:val="0"/>
          <w:numId w:val="13"/>
        </w:numPr>
        <w:spacing w:line="480" w:lineRule="auto"/>
        <w:rPr>
          <w:rFonts w:ascii="Times New Roman" w:hAnsi="Times New Roman" w:cs="Times New Roman"/>
          <w:sz w:val="22"/>
          <w:szCs w:val="22"/>
          <w:lang w:val="en-US"/>
        </w:rPr>
      </w:pPr>
      <w:r w:rsidRPr="00397FD3">
        <w:rPr>
          <w:rFonts w:ascii="Times New Roman" w:hAnsi="Times New Roman" w:cs="Times New Roman"/>
          <w:sz w:val="22"/>
          <w:szCs w:val="22"/>
          <w:lang w:val="en-US"/>
        </w:rPr>
        <w:t>Custom year range to 2000-2018.</w:t>
      </w:r>
    </w:p>
    <w:p w14:paraId="5FC7F68B" w14:textId="77777777" w:rsidR="00EE4BF0" w:rsidRPr="00397FD3" w:rsidRDefault="00EE4BF0" w:rsidP="00EE4BF0">
      <w:pPr>
        <w:spacing w:line="480" w:lineRule="auto"/>
        <w:rPr>
          <w:rFonts w:ascii="Times New Roman" w:eastAsia="Times New Roman" w:hAnsi="Times New Roman"/>
          <w:color w:val="333333"/>
          <w:shd w:val="clear" w:color="auto" w:fill="F8F8F8"/>
          <w:lang w:val="en-US"/>
        </w:rPr>
      </w:pPr>
    </w:p>
    <w:p w14:paraId="154A1B53" w14:textId="77777777" w:rsidR="00EE4BF0" w:rsidRPr="00397FD3" w:rsidRDefault="00EE4BF0" w:rsidP="00EE4BF0">
      <w:pPr>
        <w:pStyle w:val="Paragraphedeliste"/>
        <w:numPr>
          <w:ilvl w:val="0"/>
          <w:numId w:val="10"/>
        </w:numPr>
        <w:spacing w:line="480" w:lineRule="auto"/>
        <w:rPr>
          <w:rFonts w:ascii="Times New Roman" w:eastAsia="Times New Roman" w:hAnsi="Times New Roman" w:cs="Times New Roman"/>
          <w:sz w:val="22"/>
          <w:szCs w:val="22"/>
          <w:lang w:val="en-US"/>
        </w:rPr>
      </w:pPr>
      <w:r w:rsidRPr="00397FD3">
        <w:rPr>
          <w:rFonts w:ascii="Times New Roman" w:eastAsia="Times New Roman" w:hAnsi="Times New Roman" w:cs="Times New Roman"/>
          <w:sz w:val="22"/>
          <w:szCs w:val="22"/>
          <w:lang w:val="en-US"/>
        </w:rPr>
        <w:t>PubMed/MedLine</w:t>
      </w:r>
    </w:p>
    <w:p w14:paraId="5706F70C" w14:textId="77777777" w:rsidR="00EE4BF0" w:rsidRPr="00397FD3" w:rsidRDefault="00EE4BF0" w:rsidP="00EE4BF0">
      <w:pPr>
        <w:spacing w:after="0" w:line="480" w:lineRule="auto"/>
        <w:rPr>
          <w:rFonts w:ascii="Times New Roman" w:hAnsi="Times New Roman"/>
          <w:lang w:val="en-US"/>
        </w:rPr>
      </w:pPr>
    </w:p>
    <w:p w14:paraId="41407488" w14:textId="77777777" w:rsidR="00EE4BF0" w:rsidRPr="00397FD3" w:rsidRDefault="00EE4BF0" w:rsidP="00EE4BF0">
      <w:pPr>
        <w:spacing w:after="0" w:line="480" w:lineRule="auto"/>
        <w:rPr>
          <w:rFonts w:ascii="Times New Roman" w:hAnsi="Times New Roman"/>
          <w:lang w:val="en-US"/>
        </w:rPr>
      </w:pPr>
      <w:r w:rsidRPr="00397FD3">
        <w:rPr>
          <w:rFonts w:ascii="Times New Roman" w:hAnsi="Times New Roman"/>
          <w:lang w:val="en-US"/>
        </w:rPr>
        <w:t xml:space="preserve">In “Advanced”: </w:t>
      </w:r>
    </w:p>
    <w:p w14:paraId="60C351D5" w14:textId="77777777" w:rsidR="00EE4BF0" w:rsidRPr="00397FD3" w:rsidRDefault="00EE4BF0" w:rsidP="00EE4BF0">
      <w:pPr>
        <w:spacing w:after="0" w:line="480" w:lineRule="auto"/>
        <w:rPr>
          <w:rFonts w:ascii="Times New Roman" w:hAnsi="Times New Roman"/>
          <w:lang w:val="en-US"/>
        </w:rPr>
      </w:pPr>
      <w:r w:rsidRPr="00397FD3">
        <w:rPr>
          <w:rFonts w:ascii="Times New Roman" w:hAnsi="Times New Roman"/>
          <w:lang w:val="en-US"/>
        </w:rPr>
        <w:t>(((Frail*[Title/Abstract] OR pre-frail[Title/Abstract] OR sarcopenia[Title/Abstract])) AND ("long term care"[Title/Abstract] OR "home care"[Title/Abstract] OR "home help"[Title/Abstract] OR "home services"[Title/Abstract] OR "community services"[Title/Abstract] OR “formal care”[Title/Abstract] OR “home nurse”[Title/Abstract] OR “care worker”[Title/Abstract] OR “informal care”[Title/Abstract] OR “nursing home”[Title/Abstract] OR “institution”[Title/Abstract])) AND (use[Title/Abstract] OR utilization[Title/Abstract] OR visit[Title/Abstract] OR consumption[Title/Abstract])</w:t>
      </w:r>
    </w:p>
    <w:p w14:paraId="40273CB5" w14:textId="77777777" w:rsidR="00EE4BF0" w:rsidRPr="00397FD3" w:rsidRDefault="00EE4BF0" w:rsidP="00EE4BF0">
      <w:pPr>
        <w:spacing w:after="0" w:line="480" w:lineRule="auto"/>
        <w:rPr>
          <w:rFonts w:ascii="Times New Roman" w:hAnsi="Times New Roman"/>
          <w:lang w:val="en-US"/>
        </w:rPr>
      </w:pPr>
    </w:p>
    <w:p w14:paraId="3C50CDE9" w14:textId="77777777" w:rsidR="00EE4BF0" w:rsidRPr="00397FD3" w:rsidRDefault="00EE4BF0" w:rsidP="00EE4BF0">
      <w:pPr>
        <w:spacing w:after="0" w:line="480" w:lineRule="auto"/>
        <w:rPr>
          <w:rFonts w:ascii="Times New Roman" w:hAnsi="Times New Roman"/>
          <w:lang w:val="en-US"/>
        </w:rPr>
      </w:pPr>
      <w:r w:rsidRPr="00397FD3">
        <w:rPr>
          <w:rFonts w:ascii="Times New Roman" w:hAnsi="Times New Roman"/>
          <w:lang w:val="en-US"/>
        </w:rPr>
        <w:t xml:space="preserve">Additional configuration: </w:t>
      </w:r>
    </w:p>
    <w:p w14:paraId="02F83B8A" w14:textId="77777777" w:rsidR="00EE4BF0" w:rsidRPr="00397FD3" w:rsidRDefault="00EE4BF0" w:rsidP="00EE4BF0">
      <w:pPr>
        <w:pStyle w:val="Paragraphedeliste"/>
        <w:numPr>
          <w:ilvl w:val="0"/>
          <w:numId w:val="12"/>
        </w:numPr>
        <w:spacing w:line="480" w:lineRule="auto"/>
        <w:rPr>
          <w:rFonts w:ascii="Times New Roman" w:hAnsi="Times New Roman" w:cs="Times New Roman"/>
          <w:sz w:val="22"/>
          <w:szCs w:val="22"/>
          <w:lang w:val="en-US"/>
        </w:rPr>
      </w:pPr>
      <w:r w:rsidRPr="00397FD3">
        <w:rPr>
          <w:rFonts w:ascii="Times New Roman" w:hAnsi="Times New Roman" w:cs="Times New Roman"/>
          <w:sz w:val="22"/>
          <w:szCs w:val="22"/>
          <w:lang w:val="en-US"/>
        </w:rPr>
        <w:t>Custom publication dates: 2000-2018</w:t>
      </w:r>
    </w:p>
    <w:p w14:paraId="0810D316" w14:textId="77777777" w:rsidR="00EE4BF0" w:rsidRPr="00397FD3" w:rsidRDefault="00EE4BF0" w:rsidP="00EE4BF0">
      <w:pPr>
        <w:pStyle w:val="Paragraphedeliste"/>
        <w:spacing w:line="480" w:lineRule="auto"/>
        <w:rPr>
          <w:rFonts w:ascii="Times New Roman" w:eastAsia="Times New Roman" w:hAnsi="Times New Roman" w:cs="Times New Roman"/>
          <w:sz w:val="22"/>
          <w:szCs w:val="22"/>
          <w:lang w:val="en-US"/>
        </w:rPr>
      </w:pPr>
    </w:p>
    <w:p w14:paraId="087E9E15" w14:textId="77777777" w:rsidR="00EE4BF0" w:rsidRPr="00397FD3" w:rsidRDefault="00EE4BF0" w:rsidP="00EE4BF0">
      <w:pPr>
        <w:pStyle w:val="Paragraphedeliste"/>
        <w:numPr>
          <w:ilvl w:val="0"/>
          <w:numId w:val="10"/>
        </w:numPr>
        <w:spacing w:line="480" w:lineRule="auto"/>
        <w:rPr>
          <w:rFonts w:ascii="Times New Roman" w:eastAsia="Times New Roman" w:hAnsi="Times New Roman" w:cs="Times New Roman"/>
          <w:sz w:val="22"/>
          <w:szCs w:val="22"/>
          <w:lang w:val="en-US"/>
        </w:rPr>
      </w:pPr>
      <w:r w:rsidRPr="00397FD3">
        <w:rPr>
          <w:rFonts w:ascii="Times New Roman" w:eastAsia="Times New Roman" w:hAnsi="Times New Roman" w:cs="Times New Roman"/>
          <w:sz w:val="22"/>
          <w:szCs w:val="22"/>
          <w:lang w:val="en-US"/>
        </w:rPr>
        <w:t>Embase</w:t>
      </w:r>
    </w:p>
    <w:p w14:paraId="7C8340BE" w14:textId="77777777" w:rsidR="00EE4BF0" w:rsidRPr="00397FD3" w:rsidRDefault="00EE4BF0" w:rsidP="00EE4BF0">
      <w:pPr>
        <w:pStyle w:val="Paragraphedeliste"/>
        <w:spacing w:line="480" w:lineRule="auto"/>
        <w:rPr>
          <w:rFonts w:ascii="Times New Roman" w:eastAsia="Times New Roman" w:hAnsi="Times New Roman" w:cs="Times New Roman"/>
          <w:sz w:val="22"/>
          <w:szCs w:val="22"/>
          <w:lang w:val="en-US"/>
        </w:rPr>
      </w:pPr>
    </w:p>
    <w:p w14:paraId="5257A1A7" w14:textId="77777777" w:rsidR="00EE4BF0" w:rsidRPr="00397FD3" w:rsidRDefault="00EE4BF0" w:rsidP="00EE4BF0">
      <w:pPr>
        <w:spacing w:line="480" w:lineRule="auto"/>
        <w:rPr>
          <w:rFonts w:ascii="Times New Roman" w:hAnsi="Times New Roman"/>
          <w:lang w:val="en-US"/>
        </w:rPr>
      </w:pPr>
      <w:r w:rsidRPr="00397FD3">
        <w:rPr>
          <w:rFonts w:ascii="Times New Roman" w:hAnsi="Times New Roman"/>
          <w:lang w:val="en-US"/>
        </w:rPr>
        <w:t>In “Advanced”:</w:t>
      </w:r>
    </w:p>
    <w:p w14:paraId="06E15485" w14:textId="77777777" w:rsidR="00EE4BF0" w:rsidRPr="00397FD3" w:rsidRDefault="00EE4BF0" w:rsidP="00EE4BF0">
      <w:pPr>
        <w:spacing w:line="480" w:lineRule="auto"/>
        <w:rPr>
          <w:rFonts w:ascii="Times New Roman" w:hAnsi="Times New Roman"/>
          <w:lang w:val="en-US"/>
        </w:rPr>
      </w:pPr>
      <w:r w:rsidRPr="00397FD3">
        <w:rPr>
          <w:rFonts w:ascii="Times New Roman" w:hAnsi="Times New Roman"/>
          <w:lang w:val="en-US"/>
        </w:rPr>
        <w:lastRenderedPageBreak/>
        <w:t xml:space="preserve">(frail*:ti,ab,kw OR 'pre frail':ti,ab,kw OR sarcopenia:ti,ab,kw) AND ('long term care':ti,ab,kw OR 'home care':ti,ab,kw OR 'home help':ti,ab,kw OR 'home services':ti,ab,kw OR 'community services':ti,ab,kw OR 'formal care':ti,ab,kw OR 'home nurse':ti,ab,kw OR 'care worker':ti,ab,kw OR 'informal care':ti,ab,kw OR 'nursing home':ti,ab,kw OR 'institution':ti,ab,kw) AND (use:ti,ab,kw OR utilization:ti,ab,kw OR visit:ti,ab,kw OR consumption:ti,ab,kw) </w:t>
      </w:r>
    </w:p>
    <w:p w14:paraId="0D74256C" w14:textId="77777777" w:rsidR="00EE4BF0" w:rsidRPr="00397FD3" w:rsidRDefault="00EE4BF0" w:rsidP="00EE4BF0">
      <w:pPr>
        <w:spacing w:line="480" w:lineRule="auto"/>
        <w:rPr>
          <w:rFonts w:ascii="Times New Roman" w:hAnsi="Times New Roman"/>
          <w:lang w:val="en-US"/>
        </w:rPr>
      </w:pPr>
      <w:r w:rsidRPr="00397FD3">
        <w:rPr>
          <w:rFonts w:ascii="Times New Roman" w:hAnsi="Times New Roman"/>
          <w:lang w:val="en-US"/>
        </w:rPr>
        <w:t xml:space="preserve">Additional configuration: </w:t>
      </w:r>
    </w:p>
    <w:p w14:paraId="3BCC4F11" w14:textId="77777777" w:rsidR="00EE4BF0" w:rsidRPr="00397FD3" w:rsidRDefault="00EE4BF0" w:rsidP="00EE4BF0">
      <w:pPr>
        <w:pStyle w:val="Paragraphedeliste"/>
        <w:numPr>
          <w:ilvl w:val="0"/>
          <w:numId w:val="12"/>
        </w:numPr>
        <w:spacing w:line="480" w:lineRule="auto"/>
        <w:rPr>
          <w:rFonts w:ascii="Times New Roman" w:hAnsi="Times New Roman" w:cs="Times New Roman"/>
          <w:sz w:val="22"/>
          <w:szCs w:val="22"/>
          <w:lang w:val="en-US"/>
        </w:rPr>
      </w:pPr>
      <w:r w:rsidRPr="00397FD3">
        <w:rPr>
          <w:rFonts w:ascii="Times New Roman" w:hAnsi="Times New Roman" w:cs="Times New Roman"/>
          <w:sz w:val="22"/>
          <w:szCs w:val="22"/>
          <w:lang w:val="en-US"/>
        </w:rPr>
        <w:t>Mapping: no options</w:t>
      </w:r>
    </w:p>
    <w:p w14:paraId="280206CF" w14:textId="77777777" w:rsidR="00EE4BF0" w:rsidRPr="00397FD3" w:rsidRDefault="00EE4BF0" w:rsidP="00EE4BF0">
      <w:pPr>
        <w:pStyle w:val="Paragraphedeliste"/>
        <w:numPr>
          <w:ilvl w:val="0"/>
          <w:numId w:val="12"/>
        </w:numPr>
        <w:spacing w:line="480" w:lineRule="auto"/>
        <w:rPr>
          <w:rFonts w:ascii="Times New Roman" w:hAnsi="Times New Roman" w:cs="Times New Roman"/>
          <w:sz w:val="22"/>
          <w:szCs w:val="22"/>
          <w:lang w:val="en-US"/>
        </w:rPr>
      </w:pPr>
      <w:r w:rsidRPr="00397FD3">
        <w:rPr>
          <w:rFonts w:ascii="Times New Roman" w:hAnsi="Times New Roman" w:cs="Times New Roman"/>
          <w:sz w:val="22"/>
          <w:szCs w:val="22"/>
          <w:lang w:val="en-US"/>
        </w:rPr>
        <w:t>Custom publication dates: 2000-2018</w:t>
      </w:r>
    </w:p>
    <w:p w14:paraId="70CBFF8C" w14:textId="77777777" w:rsidR="00EE4BF0" w:rsidRPr="00397FD3" w:rsidRDefault="00EE4BF0" w:rsidP="00EE4BF0">
      <w:pPr>
        <w:pStyle w:val="Paragraphedeliste"/>
        <w:numPr>
          <w:ilvl w:val="0"/>
          <w:numId w:val="12"/>
        </w:numPr>
        <w:spacing w:line="480" w:lineRule="auto"/>
        <w:rPr>
          <w:rFonts w:ascii="Times New Roman" w:hAnsi="Times New Roman" w:cs="Times New Roman"/>
          <w:sz w:val="22"/>
          <w:szCs w:val="22"/>
          <w:lang w:val="en-US"/>
        </w:rPr>
      </w:pPr>
      <w:r w:rsidRPr="00397FD3">
        <w:rPr>
          <w:rFonts w:ascii="Times New Roman" w:hAnsi="Times New Roman" w:cs="Times New Roman"/>
          <w:sz w:val="22"/>
          <w:szCs w:val="22"/>
          <w:lang w:val="en-US"/>
        </w:rPr>
        <w:t>Sources: Embase, Pudmet-not-Medline</w:t>
      </w:r>
    </w:p>
    <w:p w14:paraId="5D17A195" w14:textId="77777777" w:rsidR="00EE4BF0" w:rsidRPr="00397FD3" w:rsidRDefault="00EE4BF0" w:rsidP="00EE4BF0">
      <w:pPr>
        <w:pStyle w:val="Paragraphedeliste"/>
        <w:numPr>
          <w:ilvl w:val="0"/>
          <w:numId w:val="12"/>
        </w:numPr>
        <w:spacing w:line="480" w:lineRule="auto"/>
        <w:rPr>
          <w:rFonts w:ascii="Times New Roman" w:hAnsi="Times New Roman" w:cs="Times New Roman"/>
          <w:sz w:val="22"/>
          <w:szCs w:val="22"/>
          <w:lang w:val="en-US"/>
        </w:rPr>
      </w:pPr>
      <w:r w:rsidRPr="00397FD3">
        <w:rPr>
          <w:rFonts w:ascii="Times New Roman" w:hAnsi="Times New Roman" w:cs="Times New Roman"/>
          <w:sz w:val="22"/>
          <w:szCs w:val="22"/>
          <w:lang w:val="en-US"/>
        </w:rPr>
        <w:t xml:space="preserve">Quick limits: only in English </w:t>
      </w:r>
    </w:p>
    <w:p w14:paraId="6E9EB78E" w14:textId="77777777" w:rsidR="00EE4BF0" w:rsidRPr="00397FD3" w:rsidRDefault="00EE4BF0" w:rsidP="00EE4BF0">
      <w:pPr>
        <w:pStyle w:val="Paragraphedeliste"/>
        <w:numPr>
          <w:ilvl w:val="0"/>
          <w:numId w:val="12"/>
        </w:numPr>
        <w:spacing w:line="480" w:lineRule="auto"/>
        <w:rPr>
          <w:rFonts w:ascii="Times New Roman" w:hAnsi="Times New Roman" w:cs="Times New Roman"/>
          <w:sz w:val="22"/>
          <w:szCs w:val="22"/>
          <w:lang w:val="en-US"/>
        </w:rPr>
      </w:pPr>
      <w:r w:rsidRPr="00397FD3">
        <w:rPr>
          <w:rFonts w:ascii="Times New Roman" w:hAnsi="Times New Roman" w:cs="Times New Roman"/>
          <w:sz w:val="22"/>
          <w:szCs w:val="22"/>
          <w:lang w:val="en-US"/>
        </w:rPr>
        <w:t>Publication types: articles</w:t>
      </w:r>
    </w:p>
    <w:p w14:paraId="59F4A80A" w14:textId="77777777" w:rsidR="00EE4BF0" w:rsidRPr="00397FD3" w:rsidRDefault="00EE4BF0" w:rsidP="00EE4BF0">
      <w:pPr>
        <w:pStyle w:val="Paragraphedeliste"/>
        <w:spacing w:line="480" w:lineRule="auto"/>
        <w:rPr>
          <w:rFonts w:ascii="Times New Roman" w:hAnsi="Times New Roman" w:cs="Times New Roman"/>
          <w:sz w:val="22"/>
          <w:szCs w:val="22"/>
          <w:lang w:val="en-US"/>
        </w:rPr>
      </w:pPr>
    </w:p>
    <w:p w14:paraId="19DF5F60" w14:textId="77777777" w:rsidR="00EE4BF0" w:rsidRPr="00397FD3" w:rsidRDefault="00EE4BF0" w:rsidP="00EE4BF0">
      <w:pPr>
        <w:pStyle w:val="Paragraphedeliste"/>
        <w:numPr>
          <w:ilvl w:val="0"/>
          <w:numId w:val="10"/>
        </w:numPr>
        <w:spacing w:line="480" w:lineRule="auto"/>
        <w:rPr>
          <w:rFonts w:ascii="Times New Roman" w:eastAsia="Times New Roman" w:hAnsi="Times New Roman" w:cs="Times New Roman"/>
          <w:sz w:val="22"/>
          <w:szCs w:val="22"/>
          <w:lang w:val="en-US"/>
        </w:rPr>
      </w:pPr>
      <w:r w:rsidRPr="00397FD3">
        <w:rPr>
          <w:rFonts w:ascii="Times New Roman" w:eastAsia="Times New Roman" w:hAnsi="Times New Roman" w:cs="Times New Roman"/>
          <w:sz w:val="22"/>
          <w:szCs w:val="22"/>
          <w:lang w:val="en-US"/>
        </w:rPr>
        <w:t>CINAHL</w:t>
      </w:r>
    </w:p>
    <w:p w14:paraId="295AB440" w14:textId="77777777" w:rsidR="00EE4BF0" w:rsidRPr="00397FD3" w:rsidRDefault="00EE4BF0" w:rsidP="00EE4BF0">
      <w:pPr>
        <w:spacing w:after="0" w:line="480" w:lineRule="auto"/>
        <w:rPr>
          <w:rFonts w:ascii="Times New Roman" w:hAnsi="Times New Roman"/>
          <w:lang w:val="en-US"/>
        </w:rPr>
      </w:pPr>
    </w:p>
    <w:p w14:paraId="17C1D4F1" w14:textId="77777777" w:rsidR="00EE4BF0" w:rsidRPr="00397FD3" w:rsidRDefault="00EE4BF0" w:rsidP="00EE4BF0">
      <w:pPr>
        <w:spacing w:after="0" w:line="480" w:lineRule="auto"/>
        <w:rPr>
          <w:rFonts w:ascii="Times New Roman" w:hAnsi="Times New Roman"/>
          <w:lang w:val="en-US"/>
        </w:rPr>
      </w:pPr>
      <w:r w:rsidRPr="00397FD3">
        <w:rPr>
          <w:rFonts w:ascii="Times New Roman" w:hAnsi="Times New Roman"/>
          <w:lang w:val="en-US"/>
        </w:rPr>
        <w:t xml:space="preserve">(Frail* OR pre-frail OR sarcopenia) AND (("long term care" OR "home care" OR "home help" OR "home services" OR "community services" OR “formal care” OR “home nurse” OR “care worker” OR “informal care” OR “nursing home” OR “institution”) AND (use OR utilization OR visit OR consumption)) </w:t>
      </w:r>
    </w:p>
    <w:p w14:paraId="0212E54A" w14:textId="77777777" w:rsidR="00EE4BF0" w:rsidRPr="00397FD3" w:rsidRDefault="00EE4BF0" w:rsidP="00EE4BF0">
      <w:pPr>
        <w:spacing w:line="480" w:lineRule="auto"/>
        <w:rPr>
          <w:rFonts w:ascii="Times New Roman" w:eastAsia="Times New Roman" w:hAnsi="Times New Roman"/>
          <w:lang w:val="en-US"/>
        </w:rPr>
      </w:pPr>
    </w:p>
    <w:p w14:paraId="29F30327" w14:textId="77777777" w:rsidR="00EE4BF0" w:rsidRPr="00397FD3" w:rsidRDefault="00EE4BF0" w:rsidP="00EE4BF0">
      <w:pPr>
        <w:spacing w:after="0" w:line="480" w:lineRule="auto"/>
        <w:rPr>
          <w:rFonts w:ascii="Times New Roman" w:hAnsi="Times New Roman"/>
          <w:lang w:val="en-US"/>
        </w:rPr>
      </w:pPr>
      <w:r w:rsidRPr="00397FD3">
        <w:rPr>
          <w:rFonts w:ascii="Times New Roman" w:hAnsi="Times New Roman"/>
          <w:lang w:val="en-US"/>
        </w:rPr>
        <w:t>Additional configuration:</w:t>
      </w:r>
    </w:p>
    <w:p w14:paraId="6ACCBCA5" w14:textId="77777777" w:rsidR="00EE4BF0" w:rsidRPr="00397FD3" w:rsidRDefault="00EE4BF0" w:rsidP="00EE4BF0">
      <w:pPr>
        <w:pStyle w:val="Paragraphedeliste"/>
        <w:numPr>
          <w:ilvl w:val="0"/>
          <w:numId w:val="12"/>
        </w:numPr>
        <w:spacing w:line="480" w:lineRule="auto"/>
        <w:rPr>
          <w:rFonts w:ascii="Times New Roman" w:hAnsi="Times New Roman" w:cs="Times New Roman"/>
          <w:b/>
          <w:sz w:val="22"/>
          <w:szCs w:val="22"/>
          <w:lang w:val="en-GB"/>
        </w:rPr>
      </w:pPr>
      <w:r w:rsidRPr="00397FD3">
        <w:rPr>
          <w:rFonts w:ascii="Times New Roman" w:eastAsia="Times New Roman" w:hAnsi="Times New Roman" w:cs="Times New Roman"/>
          <w:sz w:val="22"/>
          <w:szCs w:val="22"/>
          <w:lang w:val="en-US"/>
        </w:rPr>
        <w:t>Databases: Academic Search Premier / EconLit</w:t>
      </w:r>
    </w:p>
    <w:p w14:paraId="4B6DEFBD" w14:textId="77777777" w:rsidR="00EE4BF0" w:rsidRPr="00397FD3" w:rsidRDefault="00EE4BF0" w:rsidP="00EE4BF0">
      <w:pPr>
        <w:pStyle w:val="Paragraphedeliste"/>
        <w:numPr>
          <w:ilvl w:val="0"/>
          <w:numId w:val="12"/>
        </w:numPr>
        <w:spacing w:line="480" w:lineRule="auto"/>
        <w:rPr>
          <w:rFonts w:ascii="Times New Roman" w:hAnsi="Times New Roman" w:cs="Times New Roman"/>
          <w:b/>
          <w:sz w:val="22"/>
          <w:szCs w:val="22"/>
          <w:lang w:val="en-GB"/>
        </w:rPr>
      </w:pPr>
      <w:r w:rsidRPr="00397FD3">
        <w:rPr>
          <w:rFonts w:ascii="Times New Roman" w:eastAsia="Times New Roman" w:hAnsi="Times New Roman" w:cs="Times New Roman"/>
          <w:sz w:val="22"/>
          <w:szCs w:val="22"/>
          <w:lang w:val="en-US"/>
        </w:rPr>
        <w:t>Publication dates: 2000-2018</w:t>
      </w:r>
    </w:p>
    <w:p w14:paraId="539311C8" w14:textId="77777777" w:rsidR="00EE4BF0" w:rsidRPr="00397FD3" w:rsidRDefault="00EE4BF0" w:rsidP="00EE4BF0">
      <w:pPr>
        <w:pStyle w:val="Paragraphedeliste"/>
        <w:numPr>
          <w:ilvl w:val="0"/>
          <w:numId w:val="12"/>
        </w:numPr>
        <w:spacing w:line="480" w:lineRule="auto"/>
        <w:rPr>
          <w:rFonts w:ascii="Times New Roman" w:hAnsi="Times New Roman" w:cs="Times New Roman"/>
          <w:b/>
          <w:sz w:val="22"/>
          <w:szCs w:val="22"/>
          <w:lang w:val="en-GB"/>
        </w:rPr>
      </w:pPr>
      <w:r w:rsidRPr="00397FD3">
        <w:rPr>
          <w:rFonts w:ascii="Times New Roman" w:eastAsia="Times New Roman" w:hAnsi="Times New Roman" w:cs="Times New Roman"/>
          <w:sz w:val="22"/>
          <w:szCs w:val="22"/>
          <w:lang w:val="en-US"/>
        </w:rPr>
        <w:t>Document type: article</w:t>
      </w:r>
    </w:p>
    <w:p w14:paraId="4C1E039E" w14:textId="77777777" w:rsidR="00EE4BF0" w:rsidRPr="00397FD3" w:rsidRDefault="00EE4BF0" w:rsidP="00EE4BF0">
      <w:pPr>
        <w:pStyle w:val="Paragraphedeliste"/>
        <w:numPr>
          <w:ilvl w:val="0"/>
          <w:numId w:val="12"/>
        </w:numPr>
        <w:spacing w:line="480" w:lineRule="auto"/>
        <w:rPr>
          <w:rFonts w:ascii="Times New Roman" w:hAnsi="Times New Roman" w:cs="Times New Roman"/>
          <w:sz w:val="22"/>
          <w:szCs w:val="22"/>
          <w:lang w:val="en-GB"/>
        </w:rPr>
      </w:pPr>
      <w:r w:rsidRPr="00397FD3">
        <w:rPr>
          <w:rFonts w:ascii="Times New Roman" w:hAnsi="Times New Roman" w:cs="Times New Roman"/>
          <w:sz w:val="22"/>
          <w:szCs w:val="22"/>
          <w:lang w:val="en-GB"/>
        </w:rPr>
        <w:t>Language : English</w:t>
      </w:r>
    </w:p>
    <w:p w14:paraId="367D95B2" w14:textId="77777777" w:rsidR="00EE4BF0" w:rsidRPr="00397FD3" w:rsidRDefault="00EE4BF0" w:rsidP="00EE4BF0">
      <w:pPr>
        <w:pStyle w:val="Paragraphedeliste"/>
        <w:numPr>
          <w:ilvl w:val="0"/>
          <w:numId w:val="12"/>
        </w:numPr>
        <w:spacing w:line="480" w:lineRule="auto"/>
        <w:rPr>
          <w:rFonts w:ascii="Times New Roman" w:hAnsi="Times New Roman" w:cs="Times New Roman"/>
          <w:sz w:val="22"/>
          <w:szCs w:val="22"/>
          <w:lang w:val="en-US"/>
        </w:rPr>
      </w:pPr>
      <w:r w:rsidRPr="00397FD3">
        <w:rPr>
          <w:rFonts w:ascii="Times New Roman" w:hAnsi="Times New Roman" w:cs="Times New Roman"/>
          <w:sz w:val="22"/>
          <w:szCs w:val="22"/>
          <w:lang w:val="en-US"/>
        </w:rPr>
        <w:t xml:space="preserve">Select “Academic journals (peer rewied) ” </w:t>
      </w:r>
    </w:p>
    <w:p w14:paraId="0AE4AA94" w14:textId="77777777" w:rsidR="00EE4BF0" w:rsidRPr="00065423" w:rsidRDefault="00EE4BF0" w:rsidP="00EE4BF0">
      <w:pPr>
        <w:spacing w:line="480" w:lineRule="auto"/>
        <w:ind w:left="360"/>
        <w:rPr>
          <w:rFonts w:ascii="Times New Roman" w:hAnsi="Times New Roman"/>
          <w:sz w:val="20"/>
          <w:szCs w:val="20"/>
          <w:lang w:val="en-US"/>
        </w:rPr>
      </w:pPr>
    </w:p>
    <w:p w14:paraId="0170AC3D" w14:textId="77777777" w:rsidR="00EE4BF0" w:rsidRPr="00E85D55" w:rsidRDefault="00EE4BF0" w:rsidP="00EE4BF0">
      <w:pPr>
        <w:pStyle w:val="Paragraphedeliste"/>
        <w:spacing w:line="480" w:lineRule="auto"/>
        <w:rPr>
          <w:rFonts w:ascii="Times New Roman" w:hAnsi="Times New Roman" w:cs="Times New Roman"/>
          <w:sz w:val="20"/>
          <w:szCs w:val="20"/>
          <w:lang w:val="en-US"/>
        </w:rPr>
      </w:pPr>
    </w:p>
    <w:p w14:paraId="5A8C43AD" w14:textId="77777777" w:rsidR="00EE4BF0" w:rsidRPr="00E85D55" w:rsidRDefault="00EE4BF0" w:rsidP="00EE4BF0">
      <w:pPr>
        <w:pStyle w:val="Paragraphedeliste"/>
        <w:numPr>
          <w:ilvl w:val="0"/>
          <w:numId w:val="12"/>
        </w:numPr>
        <w:spacing w:line="480" w:lineRule="auto"/>
        <w:rPr>
          <w:rFonts w:ascii="Times New Roman" w:hAnsi="Times New Roman" w:cs="Times New Roman"/>
          <w:sz w:val="20"/>
          <w:szCs w:val="20"/>
          <w:lang w:val="en-US"/>
        </w:rPr>
        <w:sectPr w:rsidR="00EE4BF0" w:rsidRPr="00E85D55" w:rsidSect="00F64B89">
          <w:pgSz w:w="11906" w:h="16838"/>
          <w:pgMar w:top="1417" w:right="1133" w:bottom="1417" w:left="1134" w:header="708" w:footer="708" w:gutter="0"/>
          <w:cols w:space="708"/>
          <w:docGrid w:linePitch="360"/>
        </w:sectPr>
      </w:pPr>
    </w:p>
    <w:p w14:paraId="520D216F" w14:textId="77777777" w:rsidR="00EE4BF0" w:rsidRPr="00E85D55" w:rsidRDefault="00EE4BF0" w:rsidP="00EE4BF0">
      <w:pPr>
        <w:spacing w:after="0" w:line="480" w:lineRule="auto"/>
        <w:jc w:val="both"/>
        <w:rPr>
          <w:rFonts w:ascii="Times New Roman" w:hAnsi="Times New Roman"/>
          <w:b/>
          <w:sz w:val="20"/>
          <w:szCs w:val="20"/>
          <w:lang w:val="en-US"/>
        </w:rPr>
      </w:pPr>
    </w:p>
    <w:p w14:paraId="5CC87F9B" w14:textId="77777777" w:rsidR="00EE4BF0" w:rsidRPr="00397FD3" w:rsidRDefault="00EE4BF0" w:rsidP="00EE4BF0">
      <w:pPr>
        <w:spacing w:after="0" w:line="480" w:lineRule="auto"/>
        <w:jc w:val="both"/>
        <w:rPr>
          <w:rFonts w:ascii="Times New Roman" w:hAnsi="Times New Roman"/>
          <w:b/>
          <w:lang w:val="en-GB"/>
        </w:rPr>
      </w:pPr>
      <w:r w:rsidRPr="00397FD3">
        <w:rPr>
          <w:rFonts w:ascii="Times New Roman" w:hAnsi="Times New Roman"/>
          <w:b/>
          <w:lang w:val="en-GB"/>
        </w:rPr>
        <w:t>Appendix A.3: Quality assessment of each study according to the Berger et al (2014) grid</w:t>
      </w:r>
    </w:p>
    <w:p w14:paraId="12D446D0" w14:textId="77777777" w:rsidR="00EE4BF0" w:rsidRPr="00397FD3" w:rsidRDefault="00EE4BF0" w:rsidP="00EE4BF0">
      <w:pPr>
        <w:spacing w:after="0" w:line="480" w:lineRule="auto"/>
        <w:jc w:val="both"/>
        <w:rPr>
          <w:rFonts w:ascii="Times New Roman" w:hAnsi="Times New Roman"/>
          <w:lang w:val="en-GB"/>
        </w:rPr>
      </w:pPr>
    </w:p>
    <w:p w14:paraId="74AD4372" w14:textId="77777777" w:rsidR="00EE4BF0" w:rsidRPr="00397FD3" w:rsidRDefault="00EE4BF0" w:rsidP="00EE4BF0">
      <w:pPr>
        <w:spacing w:after="0" w:line="480" w:lineRule="auto"/>
        <w:ind w:firstLine="720"/>
        <w:jc w:val="both"/>
        <w:rPr>
          <w:rFonts w:ascii="Times New Roman" w:hAnsi="Times New Roman"/>
          <w:lang w:val="en-GB"/>
        </w:rPr>
      </w:pPr>
      <w:r w:rsidRPr="00397FD3">
        <w:rPr>
          <w:rFonts w:ascii="Times New Roman" w:hAnsi="Times New Roman"/>
          <w:lang w:val="en-GB"/>
        </w:rPr>
        <w:t xml:space="preserve">To compare the quality of the evidence provided by the selected papers, we use the questionnaire proposed by the ISPOR Task Force to assess the relevance and credibility of observational studies in health care fields  </w:t>
      </w:r>
      <w:r w:rsidRPr="00397FD3">
        <w:rPr>
          <w:rFonts w:ascii="Times New Roman" w:hAnsi="Times New Roman"/>
          <w:lang w:val="en-GB"/>
        </w:rPr>
        <w:fldChar w:fldCharType="begin"/>
      </w:r>
      <w:r w:rsidRPr="00397FD3">
        <w:rPr>
          <w:rFonts w:ascii="Times New Roman" w:hAnsi="Times New Roman"/>
          <w:lang w:val="en-GB"/>
        </w:rPr>
        <w:instrText xml:space="preserve"> ADDIN ZOTERO_ITEM CSL_CITATION {"citationID":"w78mANV4","properties":{"formattedCitation":"[33]","plainCitation":"[33]","noteIndex":0},"citationItems":[{"id":"c0bUyVgM/hvlEnFnv","uris":["http://zotero.org/users/2196912/items/E2HC7GLW"],"uri":["http://zotero.org/users/2196912/items/E2HC7GLW"],"itemData":{"id":1211,"type":"article-journal","abstract":"Evidence-based health care decisions are best informed by comparisons of all relevant interventions used to treat conditions in speciﬁc patient populations. Observational studies are being performed to help ﬁll evidence gaps. Widespread adoption of evidence from observational studies, however, has been limited because of various factors, including the lack of consensus regarding accepted principles for their evaluation and interpretation. Two task forces were formed to develop questionnaires to assist decision makers in evaluating observational studies, with one Task Force addressing retrospective research and the other Task Force addressing prospective research. The intent was to promote a structured approach to reduce the potential for subjective interpretation of evidence and drive consistency in decision making. Separately developed questionnaires were combined into a single questionnaire consisting of 33 items. These were divided into two domains: relevance and credibility. Relevance addresses the extent to which ﬁndings, if accurate, apply to the setting of interest to the decision maker. Credibility addresses the extent to which the study ﬁndings accurately answer the study question. The questionnaire provides a guide for assessing the degree of conﬁdence that should be placed from observational studies and promotes awareness of the subtleties involved in evaluating those.","container-title":"Value in Health","DOI":"10.1016/j.jval.2013.12.011","ISSN":"10983015","issue":"2","language":"en","page":"143-156","source":"DOI.org (Crossref)","title":"A Questionnaire to Assess the Relevance and Credibility of Observational Studies to Inform Health Care Decision Making: An ISPOR-AMCP-NPC Good Practice Task Force Report","title-short":"A Questionnaire to Assess the Relevance and Credibility of Observational Studies to Inform Health Care Decision Making","volume":"17","author":[{"family":"Berger","given":"Marc L."},{"family":"Martin","given":"Bradley C."},{"family":"Husereau","given":"Don"},{"family":"Worley","given":"Karen"},{"family":"Allen","given":"J. Daniel"},{"family":"Yang","given":"Winnie"},{"family":"Quon","given":"Nicole C."},{"family":"Mullins","given":"C. Daniel"},{"family":"Kahler","given":"Kristijan H."},{"family":"Crown","given":"William"}],"issued":{"date-parts":[["2014",3]]}}}],"schema":"https://github.com/citation-style-language/schema/raw/master/csl-citation.json"} </w:instrText>
      </w:r>
      <w:r w:rsidRPr="00397FD3">
        <w:rPr>
          <w:rFonts w:ascii="Times New Roman" w:hAnsi="Times New Roman"/>
          <w:lang w:val="en-GB"/>
        </w:rPr>
        <w:fldChar w:fldCharType="separate"/>
      </w:r>
      <w:r w:rsidRPr="00397FD3">
        <w:rPr>
          <w:rFonts w:ascii="Times New Roman" w:hAnsi="Times New Roman"/>
          <w:lang w:val="en-US"/>
        </w:rPr>
        <w:t>[33]</w:t>
      </w:r>
      <w:r w:rsidRPr="00397FD3">
        <w:rPr>
          <w:rFonts w:ascii="Times New Roman" w:hAnsi="Times New Roman"/>
          <w:lang w:val="en-GB"/>
        </w:rPr>
        <w:fldChar w:fldCharType="end"/>
      </w:r>
      <w:r w:rsidRPr="00397FD3">
        <w:rPr>
          <w:rFonts w:ascii="Times New Roman" w:hAnsi="Times New Roman"/>
          <w:lang w:val="en-GB"/>
        </w:rPr>
        <w:t xml:space="preserve">.  This task force provided a questionnaire to help decisions makers to evaluate observational health studies in a systematic manner. </w:t>
      </w:r>
    </w:p>
    <w:p w14:paraId="36015ADC" w14:textId="77777777" w:rsidR="00EE4BF0" w:rsidRPr="00397FD3" w:rsidRDefault="00EE4BF0" w:rsidP="00EE4BF0">
      <w:pPr>
        <w:spacing w:after="0" w:line="480" w:lineRule="auto"/>
        <w:ind w:firstLine="720"/>
        <w:jc w:val="both"/>
        <w:rPr>
          <w:rFonts w:ascii="Times New Roman" w:hAnsi="Times New Roman"/>
          <w:lang w:val="en-GB"/>
        </w:rPr>
      </w:pPr>
      <w:r w:rsidRPr="00397FD3">
        <w:rPr>
          <w:rFonts w:ascii="Times New Roman" w:hAnsi="Times New Roman"/>
          <w:lang w:val="en-GB"/>
        </w:rPr>
        <w:t xml:space="preserve">The questionnaire is divided in two parts: the first relates to relevance while the second is focused on credibility.  The relevance part of the questionnaire is centred on the relevance of the population (Is the population relevant?), the interventions and outcomes (Are any relevant intervention missing? Are the outcomes relevant?). It additionally considers the context of the study (Is the context applicable?). Due to the systematic review procedure, these criteria are systematically fulfilled. The second part focuses on credibility, referring to the extent to which the paper answers the research question it considers. Credibility considers the design of the paper (8 questions), the characteristics of the data used (4 questions), the way the analysis were conducted (3 questions), the reporting (7 questions) and the interpretation (4). The questions of each category are respectively reported in Table A.3.1 to A.3.5. When a question is answered positively (coded 1 in the Table), the paper checks quality requirements with respect to the dimension considered. Conversely, if the answer is negative (coded 0), it means that the paper meets some limitations with respect to the dimension considered. Tables A.3.1 to A.3.5 present the way each paper was assessed with respect to each item in the four categories.  </w:t>
      </w:r>
    </w:p>
    <w:p w14:paraId="6D0779DE" w14:textId="77777777" w:rsidR="00EE4BF0" w:rsidRPr="00397FD3" w:rsidRDefault="00EE4BF0" w:rsidP="00EE4BF0">
      <w:pPr>
        <w:spacing w:after="0" w:line="480" w:lineRule="auto"/>
        <w:ind w:firstLine="720"/>
        <w:jc w:val="both"/>
        <w:rPr>
          <w:rFonts w:ascii="Times New Roman" w:hAnsi="Times New Roman"/>
          <w:lang w:val="en-GB"/>
        </w:rPr>
      </w:pPr>
      <w:r w:rsidRPr="00397FD3">
        <w:rPr>
          <w:rFonts w:ascii="Times New Roman" w:hAnsi="Times New Roman"/>
          <w:lang w:val="en-GB"/>
        </w:rPr>
        <w:t xml:space="preserve">An additional category in Berger et al.’s grid is related to conflict of interests: none of our studies declared conflicts of interest. </w:t>
      </w:r>
    </w:p>
    <w:p w14:paraId="52DB3295" w14:textId="77777777" w:rsidR="00EE4BF0" w:rsidRPr="00397FD3" w:rsidRDefault="00EE4BF0" w:rsidP="00EE4BF0">
      <w:pPr>
        <w:spacing w:after="0" w:line="480" w:lineRule="auto"/>
        <w:ind w:firstLine="720"/>
        <w:jc w:val="both"/>
        <w:rPr>
          <w:rFonts w:ascii="Times New Roman" w:hAnsi="Times New Roman"/>
          <w:lang w:val="en-GB"/>
        </w:rPr>
      </w:pPr>
    </w:p>
    <w:p w14:paraId="3E305E90" w14:textId="77777777" w:rsidR="00EE4BF0" w:rsidRPr="00397FD3" w:rsidRDefault="00EE4BF0" w:rsidP="00EE4BF0">
      <w:pPr>
        <w:spacing w:after="0" w:line="480" w:lineRule="auto"/>
        <w:ind w:firstLine="720"/>
        <w:jc w:val="both"/>
        <w:rPr>
          <w:rFonts w:ascii="Times New Roman" w:hAnsi="Times New Roman"/>
          <w:lang w:val="en-GB"/>
        </w:rPr>
      </w:pPr>
      <w:r w:rsidRPr="00397FD3">
        <w:rPr>
          <w:rFonts w:ascii="Times New Roman" w:hAnsi="Times New Roman"/>
          <w:lang w:val="en-GB"/>
        </w:rPr>
        <w:t>We provide here some precisions on the way some questions have been interpreted in the quality assessment. Question</w:t>
      </w:r>
      <w:r w:rsidRPr="00397FD3">
        <w:rPr>
          <w:rFonts w:ascii="Times New Roman" w:hAnsi="Times New Roman"/>
          <w:i/>
          <w:lang w:val="en-GB"/>
        </w:rPr>
        <w:t xml:space="preserve"> “Was there evidence that a formal study protocol including an analysis plan was specified before executing the study?” </w:t>
      </w:r>
      <w:r w:rsidRPr="00397FD3">
        <w:rPr>
          <w:rFonts w:ascii="Times New Roman" w:hAnsi="Times New Roman"/>
          <w:lang w:val="en-GB"/>
        </w:rPr>
        <w:t xml:space="preserve">(Design, N°3) was coded 1 if there was evidence of a protocol (mention of the protocol, or ethics approval, or sample size computation). Question </w:t>
      </w:r>
      <w:r w:rsidRPr="00397FD3">
        <w:rPr>
          <w:rFonts w:ascii="Times New Roman" w:hAnsi="Times New Roman"/>
          <w:i/>
          <w:lang w:val="en-GB"/>
        </w:rPr>
        <w:t>“Was a study design used to minimize or account for confounding?”</w:t>
      </w:r>
      <w:r w:rsidRPr="00397FD3">
        <w:rPr>
          <w:rFonts w:ascii="Times New Roman" w:hAnsi="Times New Roman"/>
          <w:lang w:val="en-GB"/>
        </w:rPr>
        <w:t xml:space="preserve"> was coded 1 if the methodology explicitly makes it possible to </w:t>
      </w:r>
      <w:r w:rsidRPr="00397FD3">
        <w:rPr>
          <w:rFonts w:ascii="Times New Roman" w:hAnsi="Times New Roman"/>
          <w:lang w:val="en-GB"/>
        </w:rPr>
        <w:lastRenderedPageBreak/>
        <w:t xml:space="preserve">neutralize confounding (panel analysis, instrumental variable).  Question </w:t>
      </w:r>
      <w:r w:rsidRPr="00397FD3">
        <w:rPr>
          <w:rFonts w:ascii="Times New Roman" w:hAnsi="Times New Roman"/>
          <w:i/>
          <w:lang w:val="en-GB"/>
        </w:rPr>
        <w:t xml:space="preserve">“Was there a thorough assessment of potential measured and unmeasured confounders?” </w:t>
      </w:r>
      <w:r w:rsidRPr="00397FD3">
        <w:rPr>
          <w:rFonts w:ascii="Times New Roman" w:hAnsi="Times New Roman"/>
          <w:lang w:val="en-GB"/>
        </w:rPr>
        <w:t xml:space="preserve">(Analysis, N°1) was coded 1 if the analysis controls for key confounders. Question </w:t>
      </w:r>
      <w:r w:rsidRPr="00397FD3">
        <w:rPr>
          <w:rFonts w:ascii="Times New Roman" w:hAnsi="Times New Roman"/>
          <w:i/>
          <w:lang w:val="en-GB"/>
        </w:rPr>
        <w:t>“Did the authors describe the statistical uncertainty of their findings?”(</w:t>
      </w:r>
      <w:r w:rsidRPr="00397FD3">
        <w:rPr>
          <w:rFonts w:ascii="Times New Roman" w:hAnsi="Times New Roman"/>
          <w:lang w:val="en-GB"/>
        </w:rPr>
        <w:t xml:space="preserve">Reporting, N°4) was coded 1 if confidence interval or standard errors were reported. Question </w:t>
      </w:r>
      <w:r w:rsidRPr="00397FD3">
        <w:rPr>
          <w:rFonts w:ascii="Times New Roman" w:hAnsi="Times New Roman"/>
          <w:i/>
          <w:lang w:val="en-GB"/>
        </w:rPr>
        <w:t>“Was the effect of unmeasured confounding discussed?</w:t>
      </w:r>
      <w:r w:rsidRPr="00397FD3">
        <w:rPr>
          <w:rFonts w:ascii="Times New Roman" w:hAnsi="Times New Roman"/>
          <w:lang w:val="en-GB"/>
        </w:rPr>
        <w:t>” was coded 1 if there is a discussion of potential bias in the study.</w:t>
      </w:r>
    </w:p>
    <w:p w14:paraId="60A88B62" w14:textId="77777777" w:rsidR="00EE4BF0" w:rsidRPr="00397FD3" w:rsidRDefault="00EE4BF0" w:rsidP="00EE4BF0">
      <w:pPr>
        <w:spacing w:after="0" w:line="480" w:lineRule="auto"/>
        <w:ind w:firstLine="720"/>
        <w:jc w:val="both"/>
        <w:rPr>
          <w:rFonts w:ascii="Times New Roman" w:hAnsi="Times New Roman"/>
          <w:lang w:val="en-US"/>
        </w:rPr>
      </w:pPr>
      <w:r w:rsidRPr="00397FD3">
        <w:rPr>
          <w:rFonts w:ascii="Times New Roman" w:hAnsi="Times New Roman"/>
          <w:lang w:val="en-GB"/>
        </w:rPr>
        <w:t>Three questions are regarded as having no discriminatory power, either because the point they mention is systematically not reported in the studies (</w:t>
      </w:r>
      <w:r w:rsidRPr="00397FD3">
        <w:rPr>
          <w:rFonts w:ascii="Times New Roman" w:hAnsi="Times New Roman"/>
          <w:lang w:val="en-US"/>
        </w:rPr>
        <w:t>“</w:t>
      </w:r>
      <w:r w:rsidRPr="00397FD3">
        <w:rPr>
          <w:rFonts w:ascii="Times New Roman" w:hAnsi="Times New Roman"/>
          <w:i/>
          <w:lang w:val="en-US"/>
        </w:rPr>
        <w:t>Were sample size and statistical power to detect differences addressed</w:t>
      </w:r>
      <w:r w:rsidRPr="00397FD3">
        <w:rPr>
          <w:rFonts w:ascii="Times New Roman" w:hAnsi="Times New Roman"/>
          <w:lang w:val="en-US"/>
        </w:rPr>
        <w:t xml:space="preserve">?” </w:t>
      </w:r>
      <w:r w:rsidRPr="00397FD3">
        <w:rPr>
          <w:rFonts w:ascii="Times New Roman" w:hAnsi="Times New Roman"/>
          <w:lang w:val="en-GB"/>
        </w:rPr>
        <w:t>(Design, n°4); “</w:t>
      </w:r>
      <w:r w:rsidRPr="00397FD3">
        <w:rPr>
          <w:rFonts w:ascii="Times New Roman" w:eastAsia="Times New Roman" w:hAnsi="Times New Roman"/>
          <w:color w:val="000000"/>
          <w:lang w:val="en-US" w:eastAsia="fr-FR"/>
        </w:rPr>
        <w:t>Was the follow-up period of sufficient duration to detect differences addressed?” (Design, n°6) or because they only apply to longitudinal studies (“</w:t>
      </w:r>
      <w:r w:rsidRPr="00397FD3">
        <w:rPr>
          <w:rFonts w:ascii="Times New Roman" w:hAnsi="Times New Roman"/>
          <w:i/>
          <w:lang w:val="en-US"/>
        </w:rPr>
        <w:t xml:space="preserve">Was the follow-up time similar among comparison groups or were the differences in follow-up accounted for in the analyses?” </w:t>
      </w:r>
      <w:r w:rsidRPr="00397FD3">
        <w:rPr>
          <w:rFonts w:ascii="Times New Roman" w:hAnsi="Times New Roman"/>
          <w:lang w:val="en-US"/>
        </w:rPr>
        <w:t xml:space="preserve">(Data, N°4)). Consequently, they are not taken into account in the construction of aggregated score for the quality analysis. </w:t>
      </w:r>
    </w:p>
    <w:p w14:paraId="3CF81CF9" w14:textId="77777777" w:rsidR="00EE4BF0" w:rsidRPr="00397FD3" w:rsidRDefault="00EE4BF0" w:rsidP="00EE4BF0">
      <w:pPr>
        <w:spacing w:after="0" w:line="480" w:lineRule="auto"/>
        <w:jc w:val="both"/>
        <w:rPr>
          <w:rFonts w:ascii="Times New Roman" w:hAnsi="Times New Roman"/>
          <w:lang w:val="en-US"/>
        </w:rPr>
      </w:pPr>
    </w:p>
    <w:p w14:paraId="157C454A" w14:textId="77777777" w:rsidR="00EE4BF0" w:rsidRPr="00397FD3" w:rsidRDefault="00EE4BF0" w:rsidP="00EE4BF0">
      <w:pPr>
        <w:spacing w:after="0" w:line="480" w:lineRule="auto"/>
        <w:ind w:firstLine="360"/>
        <w:jc w:val="both"/>
        <w:rPr>
          <w:rFonts w:ascii="Times New Roman" w:hAnsi="Times New Roman"/>
          <w:lang w:val="en-US"/>
        </w:rPr>
      </w:pPr>
      <w:r w:rsidRPr="00397FD3">
        <w:rPr>
          <w:rFonts w:ascii="Times New Roman" w:hAnsi="Times New Roman"/>
          <w:lang w:val="en-US"/>
        </w:rPr>
        <w:t xml:space="preserve">For two questions, a negative answer is associated to what is called a “fatal flaw”, meaning that the limitation considered leads to strong validity issues. In the credibility part of the questionnaire, there are two potential fatal flows: the first corresponds to the situation when the exposure outcome is not valid. In the systematic review procedure, papers have been selected to have a relevant exposure outcome: then the first fatal flow is not an issue. The second criteria leading to a fatal flow relates to the assessment and control of confounding.  </w:t>
      </w:r>
    </w:p>
    <w:p w14:paraId="5B7AF0A3" w14:textId="77777777" w:rsidR="00EE4BF0" w:rsidRPr="00397FD3" w:rsidRDefault="00EE4BF0" w:rsidP="00EE4BF0">
      <w:pPr>
        <w:spacing w:after="0" w:line="480" w:lineRule="auto"/>
        <w:jc w:val="both"/>
        <w:rPr>
          <w:rFonts w:ascii="Times New Roman" w:hAnsi="Times New Roman"/>
          <w:lang w:val="en-US"/>
        </w:rPr>
      </w:pPr>
    </w:p>
    <w:p w14:paraId="166E855E" w14:textId="77777777" w:rsidR="00EE4BF0" w:rsidRPr="00397FD3" w:rsidRDefault="00EE4BF0" w:rsidP="00EE4BF0">
      <w:pPr>
        <w:spacing w:after="0" w:line="480" w:lineRule="auto"/>
        <w:ind w:firstLine="360"/>
        <w:jc w:val="both"/>
        <w:rPr>
          <w:rFonts w:ascii="Times New Roman" w:eastAsia="Times New Roman" w:hAnsi="Times New Roman"/>
          <w:color w:val="000000"/>
          <w:lang w:val="en-US" w:eastAsia="fr-FR"/>
        </w:rPr>
      </w:pPr>
      <w:r w:rsidRPr="00397FD3">
        <w:rPr>
          <w:rFonts w:ascii="Times New Roman" w:hAnsi="Times New Roman"/>
          <w:lang w:val="en-US"/>
        </w:rPr>
        <w:t xml:space="preserve">In the ‘Design” part (Table A.3.1), the main issue in this category refers to the inclusion of a formal protocol (question 3, 8 studies coded 1 out of 17 studies) and the use of a design to minimize </w:t>
      </w:r>
      <w:r w:rsidRPr="00397FD3">
        <w:rPr>
          <w:rFonts w:ascii="Times New Roman" w:eastAsia="Times New Roman" w:hAnsi="Times New Roman"/>
          <w:color w:val="000000"/>
          <w:lang w:val="en-US" w:eastAsia="fr-FR"/>
        </w:rPr>
        <w:t xml:space="preserve">or account for confounding (question 5, 2 studies over 17). With respect to data (Table A.3..2), all criteria are fulfilled by each study (except question 1, 16/17 studies). Regarding analysis (Table A.3.3), it is rare to have analyses of subgroups or interaction effect (question 2) and sensitivity analysis (question 3): these criteria are met by 1 study out of 17.  The main issues with reporting lie in the reporting of adjusted estimates (question 4, 11/17), the statistical uncertainty (question 5, 13/17) and the reporting of both absolute and relative measure of treatment (frailty and sarcopenia). Finally, most studies fail to address the discussion of unmeasured </w:t>
      </w:r>
      <w:r w:rsidRPr="00397FD3">
        <w:rPr>
          <w:rFonts w:ascii="Times New Roman" w:eastAsia="Times New Roman" w:hAnsi="Times New Roman"/>
          <w:color w:val="000000"/>
          <w:lang w:val="en-US" w:eastAsia="fr-FR"/>
        </w:rPr>
        <w:lastRenderedPageBreak/>
        <w:t xml:space="preserve">confounders in the interpretation part (Table A.3.5, Question 4, 5/17) while other criteria are met by all the studies. </w:t>
      </w:r>
    </w:p>
    <w:p w14:paraId="28FF2D0F" w14:textId="77777777" w:rsidR="00EE4BF0" w:rsidRPr="00397FD3" w:rsidRDefault="00EE4BF0" w:rsidP="00EE4BF0">
      <w:pPr>
        <w:spacing w:after="0" w:line="480" w:lineRule="auto"/>
        <w:ind w:firstLine="360"/>
        <w:jc w:val="both"/>
        <w:rPr>
          <w:rFonts w:ascii="Times New Roman" w:eastAsia="Times New Roman" w:hAnsi="Times New Roman"/>
          <w:color w:val="000000"/>
          <w:lang w:val="en-US" w:eastAsia="fr-FR"/>
        </w:rPr>
      </w:pPr>
    </w:p>
    <w:p w14:paraId="60705DFB" w14:textId="77777777" w:rsidR="00EE4BF0" w:rsidRPr="00E85D55" w:rsidRDefault="00EE4BF0" w:rsidP="00EE4BF0">
      <w:pPr>
        <w:spacing w:after="0" w:line="480" w:lineRule="auto"/>
        <w:ind w:firstLine="360"/>
        <w:jc w:val="both"/>
        <w:rPr>
          <w:rFonts w:ascii="Times New Roman" w:hAnsi="Times New Roman"/>
          <w:sz w:val="20"/>
          <w:szCs w:val="20"/>
          <w:lang w:val="en-US"/>
        </w:rPr>
      </w:pPr>
    </w:p>
    <w:p w14:paraId="51D2559A" w14:textId="77777777" w:rsidR="00EE4BF0" w:rsidRPr="00E85D55" w:rsidRDefault="00EE4BF0" w:rsidP="00EE4BF0">
      <w:pPr>
        <w:spacing w:after="0" w:line="480" w:lineRule="auto"/>
        <w:ind w:firstLine="360"/>
        <w:jc w:val="both"/>
        <w:rPr>
          <w:rFonts w:ascii="Times New Roman" w:hAnsi="Times New Roman"/>
          <w:sz w:val="20"/>
          <w:szCs w:val="20"/>
          <w:lang w:val="en-US"/>
        </w:rPr>
      </w:pPr>
    </w:p>
    <w:p w14:paraId="0D2AD29C" w14:textId="77777777" w:rsidR="00EE4BF0" w:rsidRPr="00E85D55" w:rsidRDefault="00EE4BF0" w:rsidP="00EE4BF0">
      <w:pPr>
        <w:spacing w:line="480" w:lineRule="auto"/>
        <w:jc w:val="both"/>
        <w:rPr>
          <w:rFonts w:ascii="Times New Roman" w:hAnsi="Times New Roman"/>
          <w:sz w:val="20"/>
          <w:szCs w:val="20"/>
          <w:lang w:val="en-GB"/>
        </w:rPr>
      </w:pPr>
      <w:r w:rsidRPr="00E85D55">
        <w:rPr>
          <w:rFonts w:ascii="Times New Roman" w:hAnsi="Times New Roman"/>
          <w:sz w:val="20"/>
          <w:szCs w:val="20"/>
          <w:lang w:val="en-GB"/>
        </w:rPr>
        <w:tab/>
      </w:r>
    </w:p>
    <w:p w14:paraId="3EDE6019" w14:textId="77777777" w:rsidR="00EE4BF0" w:rsidRPr="00E85D55" w:rsidRDefault="00EE4BF0" w:rsidP="00EE4BF0">
      <w:pPr>
        <w:spacing w:after="0" w:line="480" w:lineRule="auto"/>
        <w:jc w:val="both"/>
        <w:rPr>
          <w:rFonts w:ascii="Times New Roman" w:hAnsi="Times New Roman"/>
          <w:i/>
          <w:sz w:val="20"/>
          <w:szCs w:val="20"/>
          <w:lang w:val="en-US"/>
        </w:rPr>
        <w:sectPr w:rsidR="00EE4BF0" w:rsidRPr="00E85D55" w:rsidSect="00E027B9">
          <w:pgSz w:w="11906" w:h="16838"/>
          <w:pgMar w:top="1417" w:right="1133" w:bottom="1417" w:left="1134" w:header="708" w:footer="708" w:gutter="0"/>
          <w:cols w:space="708"/>
          <w:docGrid w:linePitch="360"/>
        </w:sectPr>
      </w:pPr>
      <w:r w:rsidRPr="00E85D55">
        <w:rPr>
          <w:rFonts w:ascii="Times New Roman" w:hAnsi="Times New Roman"/>
          <w:i/>
          <w:sz w:val="20"/>
          <w:szCs w:val="20"/>
          <w:lang w:val="en-US"/>
        </w:rPr>
        <w:t xml:space="preserve"> </w:t>
      </w:r>
    </w:p>
    <w:tbl>
      <w:tblPr>
        <w:tblW w:w="5187" w:type="pct"/>
        <w:tblInd w:w="-530" w:type="dxa"/>
        <w:tblCellMar>
          <w:left w:w="70" w:type="dxa"/>
          <w:right w:w="70" w:type="dxa"/>
        </w:tblCellMar>
        <w:tblLook w:val="04A0" w:firstRow="1" w:lastRow="0" w:firstColumn="1" w:lastColumn="0" w:noHBand="0" w:noVBand="1"/>
      </w:tblPr>
      <w:tblGrid>
        <w:gridCol w:w="306"/>
        <w:gridCol w:w="2561"/>
        <w:gridCol w:w="527"/>
        <w:gridCol w:w="562"/>
        <w:gridCol w:w="562"/>
        <w:gridCol w:w="660"/>
        <w:gridCol w:w="506"/>
        <w:gridCol w:w="557"/>
        <w:gridCol w:w="507"/>
        <w:gridCol w:w="507"/>
        <w:gridCol w:w="568"/>
        <w:gridCol w:w="670"/>
        <w:gridCol w:w="664"/>
        <w:gridCol w:w="772"/>
        <w:gridCol w:w="772"/>
        <w:gridCol w:w="966"/>
        <w:gridCol w:w="571"/>
        <w:gridCol w:w="670"/>
        <w:gridCol w:w="769"/>
        <w:gridCol w:w="851"/>
      </w:tblGrid>
      <w:tr w:rsidR="00EE4BF0" w:rsidRPr="00646ABB" w14:paraId="7FD9352F" w14:textId="77777777" w:rsidTr="007D1DAE">
        <w:trPr>
          <w:trHeight w:val="270"/>
        </w:trPr>
        <w:tc>
          <w:tcPr>
            <w:tcW w:w="4736" w:type="pct"/>
            <w:gridSpan w:val="19"/>
            <w:shd w:val="clear" w:color="000000" w:fill="FFFFFF"/>
            <w:noWrap/>
            <w:vAlign w:val="center"/>
          </w:tcPr>
          <w:p w14:paraId="7419661C" w14:textId="77777777" w:rsidR="00EE4BF0" w:rsidRPr="00397FD3" w:rsidRDefault="00EE4BF0" w:rsidP="007D1DAE">
            <w:pPr>
              <w:spacing w:after="0" w:line="480" w:lineRule="auto"/>
              <w:jc w:val="center"/>
              <w:rPr>
                <w:rFonts w:ascii="Times New Roman" w:eastAsia="Times New Roman" w:hAnsi="Times New Roman"/>
                <w:color w:val="000000"/>
                <w:u w:val="single"/>
                <w:lang w:val="en-US" w:eastAsia="fr-FR"/>
              </w:rPr>
            </w:pPr>
            <w:r w:rsidRPr="00397FD3">
              <w:rPr>
                <w:rFonts w:ascii="Times New Roman" w:eastAsia="Times New Roman" w:hAnsi="Times New Roman"/>
                <w:color w:val="000000"/>
                <w:u w:val="single"/>
                <w:lang w:val="en-US" w:eastAsia="fr-FR"/>
              </w:rPr>
              <w:lastRenderedPageBreak/>
              <w:t xml:space="preserve">Table A.3.1 : assessment of credibility with respect to the </w:t>
            </w:r>
            <w:r w:rsidRPr="00397FD3">
              <w:rPr>
                <w:rFonts w:ascii="Times New Roman" w:eastAsia="Times New Roman" w:hAnsi="Times New Roman"/>
                <w:i/>
                <w:color w:val="000000"/>
                <w:u w:val="single"/>
                <w:lang w:val="en-US" w:eastAsia="fr-FR"/>
              </w:rPr>
              <w:t xml:space="preserve">study design </w:t>
            </w:r>
            <w:r w:rsidRPr="00397FD3">
              <w:rPr>
                <w:rFonts w:ascii="Times New Roman" w:eastAsia="Times New Roman" w:hAnsi="Times New Roman"/>
                <w:color w:val="000000"/>
                <w:u w:val="single"/>
                <w:lang w:val="en-US" w:eastAsia="fr-FR"/>
              </w:rPr>
              <w:t>domain</w:t>
            </w:r>
          </w:p>
          <w:p w14:paraId="0D6F47DF" w14:textId="77777777" w:rsidR="00EE4BF0" w:rsidRPr="00E85D55" w:rsidRDefault="00EE4BF0" w:rsidP="007D1DAE">
            <w:pPr>
              <w:spacing w:after="0" w:line="480" w:lineRule="auto"/>
              <w:jc w:val="center"/>
              <w:rPr>
                <w:rFonts w:ascii="Times New Roman" w:eastAsia="Times New Roman" w:hAnsi="Times New Roman"/>
                <w:color w:val="000000"/>
                <w:sz w:val="20"/>
                <w:szCs w:val="20"/>
                <w:u w:val="single"/>
                <w:lang w:val="en-US" w:eastAsia="fr-FR"/>
              </w:rPr>
            </w:pPr>
          </w:p>
        </w:tc>
        <w:tc>
          <w:tcPr>
            <w:tcW w:w="264" w:type="pct"/>
            <w:shd w:val="clear" w:color="000000" w:fill="FFFFFF"/>
          </w:tcPr>
          <w:p w14:paraId="0124E7B1" w14:textId="77777777" w:rsidR="00EE4BF0" w:rsidRPr="00E85D55" w:rsidRDefault="00EE4BF0" w:rsidP="007D1DAE">
            <w:pPr>
              <w:spacing w:after="0" w:line="480" w:lineRule="auto"/>
              <w:jc w:val="center"/>
              <w:rPr>
                <w:rFonts w:ascii="Times New Roman" w:eastAsia="Times New Roman" w:hAnsi="Times New Roman"/>
                <w:color w:val="000000"/>
                <w:sz w:val="20"/>
                <w:szCs w:val="20"/>
                <w:u w:val="single"/>
                <w:lang w:val="en-US" w:eastAsia="fr-FR"/>
              </w:rPr>
            </w:pPr>
          </w:p>
        </w:tc>
      </w:tr>
      <w:tr w:rsidR="00EE4BF0" w:rsidRPr="00E85D55" w14:paraId="068C8A9A" w14:textId="77777777" w:rsidTr="007D1DAE">
        <w:trPr>
          <w:trHeight w:val="270"/>
        </w:trPr>
        <w:tc>
          <w:tcPr>
            <w:tcW w:w="107" w:type="pct"/>
            <w:vMerge w:val="restart"/>
            <w:tcBorders>
              <w:top w:val="single" w:sz="4" w:space="0" w:color="auto"/>
              <w:left w:val="single" w:sz="4" w:space="0" w:color="auto"/>
              <w:right w:val="single" w:sz="4" w:space="0" w:color="auto"/>
            </w:tcBorders>
            <w:shd w:val="clear" w:color="000000" w:fill="FFFFFF"/>
            <w:noWrap/>
            <w:vAlign w:val="center"/>
            <w:hideMark/>
          </w:tcPr>
          <w:p w14:paraId="4ADA3BA5"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 </w:t>
            </w:r>
          </w:p>
          <w:p w14:paraId="312EF9C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 </w:t>
            </w:r>
          </w:p>
        </w:tc>
        <w:tc>
          <w:tcPr>
            <w:tcW w:w="88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23193D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Question</w:t>
            </w:r>
          </w:p>
        </w:tc>
        <w:tc>
          <w:tcPr>
            <w:tcW w:w="183" w:type="pct"/>
            <w:tcBorders>
              <w:top w:val="single" w:sz="4" w:space="0" w:color="auto"/>
              <w:left w:val="nil"/>
              <w:bottom w:val="single" w:sz="4" w:space="0" w:color="auto"/>
              <w:right w:val="single" w:sz="4" w:space="0" w:color="auto"/>
            </w:tcBorders>
            <w:shd w:val="clear" w:color="000000" w:fill="FFFFFF"/>
            <w:vAlign w:val="center"/>
            <w:hideMark/>
          </w:tcPr>
          <w:p w14:paraId="7301C10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xml:space="preserve"> 1</w:t>
            </w:r>
          </w:p>
        </w:tc>
        <w:tc>
          <w:tcPr>
            <w:tcW w:w="195" w:type="pct"/>
            <w:tcBorders>
              <w:top w:val="single" w:sz="4" w:space="0" w:color="auto"/>
              <w:left w:val="nil"/>
              <w:bottom w:val="single" w:sz="4" w:space="0" w:color="auto"/>
              <w:right w:val="single" w:sz="4" w:space="0" w:color="auto"/>
            </w:tcBorders>
            <w:shd w:val="clear" w:color="000000" w:fill="FFFFFF"/>
            <w:vAlign w:val="center"/>
            <w:hideMark/>
          </w:tcPr>
          <w:p w14:paraId="2556F14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xml:space="preserve"> 2</w:t>
            </w:r>
          </w:p>
        </w:tc>
        <w:tc>
          <w:tcPr>
            <w:tcW w:w="195" w:type="pct"/>
            <w:tcBorders>
              <w:top w:val="single" w:sz="4" w:space="0" w:color="auto"/>
              <w:left w:val="nil"/>
              <w:bottom w:val="single" w:sz="4" w:space="0" w:color="auto"/>
              <w:right w:val="single" w:sz="4" w:space="0" w:color="auto"/>
            </w:tcBorders>
            <w:shd w:val="clear" w:color="000000" w:fill="FFFFFF"/>
            <w:vAlign w:val="center"/>
            <w:hideMark/>
          </w:tcPr>
          <w:p w14:paraId="1371F7A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xml:space="preserve"> 3</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14:paraId="1636552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xml:space="preserve"> 4</w:t>
            </w:r>
          </w:p>
        </w:tc>
        <w:tc>
          <w:tcPr>
            <w:tcW w:w="176" w:type="pct"/>
            <w:tcBorders>
              <w:top w:val="single" w:sz="4" w:space="0" w:color="auto"/>
              <w:left w:val="nil"/>
              <w:bottom w:val="single" w:sz="4" w:space="0" w:color="auto"/>
              <w:right w:val="single" w:sz="4" w:space="0" w:color="auto"/>
            </w:tcBorders>
            <w:shd w:val="clear" w:color="000000" w:fill="FFFFFF"/>
            <w:vAlign w:val="center"/>
            <w:hideMark/>
          </w:tcPr>
          <w:p w14:paraId="3D6D755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xml:space="preserve"> 5</w:t>
            </w:r>
          </w:p>
        </w:tc>
        <w:tc>
          <w:tcPr>
            <w:tcW w:w="193" w:type="pct"/>
            <w:tcBorders>
              <w:top w:val="single" w:sz="4" w:space="0" w:color="auto"/>
              <w:left w:val="nil"/>
              <w:bottom w:val="single" w:sz="4" w:space="0" w:color="auto"/>
              <w:right w:val="single" w:sz="4" w:space="0" w:color="auto"/>
            </w:tcBorders>
            <w:shd w:val="clear" w:color="000000" w:fill="FFFFFF"/>
            <w:vAlign w:val="center"/>
            <w:hideMark/>
          </w:tcPr>
          <w:p w14:paraId="2B3B389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xml:space="preserve"> 6</w:t>
            </w:r>
          </w:p>
        </w:tc>
        <w:tc>
          <w:tcPr>
            <w:tcW w:w="176" w:type="pct"/>
            <w:tcBorders>
              <w:top w:val="single" w:sz="4" w:space="0" w:color="auto"/>
              <w:left w:val="nil"/>
              <w:bottom w:val="single" w:sz="4" w:space="0" w:color="auto"/>
              <w:right w:val="single" w:sz="4" w:space="0" w:color="auto"/>
            </w:tcBorders>
            <w:shd w:val="clear" w:color="000000" w:fill="FFFFFF"/>
            <w:vAlign w:val="center"/>
            <w:hideMark/>
          </w:tcPr>
          <w:p w14:paraId="19F7A6B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xml:space="preserve"> 7</w:t>
            </w:r>
          </w:p>
        </w:tc>
        <w:tc>
          <w:tcPr>
            <w:tcW w:w="176" w:type="pct"/>
            <w:tcBorders>
              <w:top w:val="single" w:sz="4" w:space="0" w:color="auto"/>
              <w:left w:val="nil"/>
              <w:bottom w:val="single" w:sz="4" w:space="0" w:color="auto"/>
              <w:right w:val="single" w:sz="4" w:space="0" w:color="auto"/>
            </w:tcBorders>
            <w:shd w:val="clear" w:color="000000" w:fill="FFFFFF"/>
            <w:vAlign w:val="center"/>
            <w:hideMark/>
          </w:tcPr>
          <w:p w14:paraId="4CC49A5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xml:space="preserve"> 8</w:t>
            </w:r>
          </w:p>
        </w:tc>
        <w:tc>
          <w:tcPr>
            <w:tcW w:w="197" w:type="pct"/>
            <w:tcBorders>
              <w:top w:val="single" w:sz="4" w:space="0" w:color="auto"/>
              <w:left w:val="nil"/>
              <w:bottom w:val="single" w:sz="4" w:space="0" w:color="auto"/>
              <w:right w:val="single" w:sz="4" w:space="0" w:color="auto"/>
            </w:tcBorders>
            <w:shd w:val="clear" w:color="000000" w:fill="FFFFFF"/>
            <w:vAlign w:val="center"/>
            <w:hideMark/>
          </w:tcPr>
          <w:p w14:paraId="2D61FB3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xml:space="preserve"> 9</w:t>
            </w:r>
          </w:p>
        </w:tc>
        <w:tc>
          <w:tcPr>
            <w:tcW w:w="232" w:type="pct"/>
            <w:tcBorders>
              <w:top w:val="single" w:sz="4" w:space="0" w:color="auto"/>
              <w:left w:val="nil"/>
              <w:bottom w:val="single" w:sz="4" w:space="0" w:color="auto"/>
              <w:right w:val="single" w:sz="4" w:space="0" w:color="auto"/>
            </w:tcBorders>
            <w:shd w:val="clear" w:color="000000" w:fill="FFFFFF"/>
            <w:vAlign w:val="center"/>
            <w:hideMark/>
          </w:tcPr>
          <w:p w14:paraId="22EF06E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val="en-US" w:eastAsia="fr-FR"/>
              </w:rPr>
              <w:t xml:space="preserve"> </w:t>
            </w:r>
            <w:r w:rsidRPr="00E85D55">
              <w:rPr>
                <w:rFonts w:ascii="Times New Roman" w:eastAsia="Times New Roman" w:hAnsi="Times New Roman"/>
                <w:color w:val="000000"/>
                <w:sz w:val="20"/>
                <w:szCs w:val="20"/>
                <w:lang w:eastAsia="fr-FR"/>
              </w:rPr>
              <w:t>10</w:t>
            </w:r>
          </w:p>
        </w:tc>
        <w:tc>
          <w:tcPr>
            <w:tcW w:w="230" w:type="pct"/>
            <w:tcBorders>
              <w:top w:val="single" w:sz="4" w:space="0" w:color="auto"/>
              <w:left w:val="nil"/>
              <w:bottom w:val="single" w:sz="4" w:space="0" w:color="auto"/>
              <w:right w:val="single" w:sz="4" w:space="0" w:color="auto"/>
            </w:tcBorders>
            <w:shd w:val="clear" w:color="000000" w:fill="FFFFFF"/>
            <w:vAlign w:val="center"/>
            <w:hideMark/>
          </w:tcPr>
          <w:p w14:paraId="46E8C64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11</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14:paraId="6B0B5D0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12</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14:paraId="2DFC70B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13</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487E007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14</w:t>
            </w:r>
          </w:p>
        </w:tc>
        <w:tc>
          <w:tcPr>
            <w:tcW w:w="198" w:type="pct"/>
            <w:tcBorders>
              <w:top w:val="single" w:sz="4" w:space="0" w:color="auto"/>
              <w:left w:val="nil"/>
              <w:bottom w:val="single" w:sz="4" w:space="0" w:color="auto"/>
              <w:right w:val="single" w:sz="4" w:space="0" w:color="auto"/>
            </w:tcBorders>
            <w:shd w:val="clear" w:color="000000" w:fill="FFFFFF"/>
            <w:vAlign w:val="center"/>
            <w:hideMark/>
          </w:tcPr>
          <w:p w14:paraId="24E4AE1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15</w:t>
            </w:r>
          </w:p>
        </w:tc>
        <w:tc>
          <w:tcPr>
            <w:tcW w:w="232" w:type="pct"/>
            <w:tcBorders>
              <w:top w:val="single" w:sz="4" w:space="0" w:color="auto"/>
              <w:left w:val="nil"/>
              <w:bottom w:val="single" w:sz="4" w:space="0" w:color="auto"/>
              <w:right w:val="single" w:sz="4" w:space="0" w:color="auto"/>
            </w:tcBorders>
            <w:shd w:val="clear" w:color="000000" w:fill="FFFFFF"/>
            <w:vAlign w:val="center"/>
            <w:hideMark/>
          </w:tcPr>
          <w:p w14:paraId="73F7B8E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16</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14:paraId="017CEB6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17</w:t>
            </w:r>
          </w:p>
        </w:tc>
        <w:tc>
          <w:tcPr>
            <w:tcW w:w="264" w:type="pct"/>
            <w:tcBorders>
              <w:top w:val="single" w:sz="4" w:space="0" w:color="auto"/>
              <w:left w:val="nil"/>
              <w:bottom w:val="single" w:sz="4" w:space="0" w:color="auto"/>
              <w:right w:val="single" w:sz="4" w:space="0" w:color="auto"/>
            </w:tcBorders>
            <w:shd w:val="clear" w:color="000000" w:fill="FFFFFF"/>
          </w:tcPr>
          <w:p w14:paraId="3060A45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p>
        </w:tc>
      </w:tr>
      <w:tr w:rsidR="00EE4BF0" w:rsidRPr="00E85D55" w14:paraId="161C36B9" w14:textId="77777777" w:rsidTr="007D1DAE">
        <w:trPr>
          <w:cantSplit/>
          <w:trHeight w:val="1201"/>
        </w:trPr>
        <w:tc>
          <w:tcPr>
            <w:tcW w:w="107" w:type="pct"/>
            <w:vMerge/>
            <w:tcBorders>
              <w:left w:val="single" w:sz="4" w:space="0" w:color="auto"/>
              <w:bottom w:val="single" w:sz="4" w:space="0" w:color="auto"/>
              <w:right w:val="single" w:sz="4" w:space="0" w:color="auto"/>
            </w:tcBorders>
            <w:shd w:val="clear" w:color="000000" w:fill="FFFFFF"/>
            <w:noWrap/>
            <w:vAlign w:val="center"/>
            <w:hideMark/>
          </w:tcPr>
          <w:p w14:paraId="58ADE663"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p>
        </w:tc>
        <w:tc>
          <w:tcPr>
            <w:tcW w:w="883" w:type="pct"/>
            <w:vMerge/>
            <w:tcBorders>
              <w:top w:val="single" w:sz="4" w:space="0" w:color="auto"/>
              <w:left w:val="single" w:sz="4" w:space="0" w:color="auto"/>
              <w:bottom w:val="single" w:sz="4" w:space="0" w:color="000000"/>
              <w:right w:val="single" w:sz="4" w:space="0" w:color="auto"/>
            </w:tcBorders>
            <w:vAlign w:val="center"/>
            <w:hideMark/>
          </w:tcPr>
          <w:p w14:paraId="226C3B25" w14:textId="77777777" w:rsidR="00EE4BF0" w:rsidRPr="00E85D55" w:rsidRDefault="00EE4BF0" w:rsidP="007D1DAE">
            <w:pPr>
              <w:spacing w:after="0" w:line="480" w:lineRule="auto"/>
              <w:rPr>
                <w:rFonts w:ascii="Times New Roman" w:eastAsia="Times New Roman" w:hAnsi="Times New Roman"/>
                <w:color w:val="000000"/>
                <w:sz w:val="20"/>
                <w:szCs w:val="20"/>
                <w:lang w:eastAsia="fr-FR"/>
              </w:rPr>
            </w:pP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2D25CE10"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 xml:space="preserve">Rothman </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(2008)</w:t>
            </w:r>
            <w:r>
              <w:rPr>
                <w:rFonts w:ascii="Times New Roman" w:eastAsia="Times New Roman" w:hAnsi="Times New Roman"/>
                <w:color w:val="000000"/>
                <w:sz w:val="18"/>
                <w:szCs w:val="20"/>
                <w:lang w:eastAsia="fr-FR"/>
              </w:rPr>
              <w:t xml:space="preserve"> </w:t>
            </w:r>
          </w:p>
        </w:tc>
        <w:tc>
          <w:tcPr>
            <w:tcW w:w="195" w:type="pct"/>
            <w:tcBorders>
              <w:top w:val="nil"/>
              <w:left w:val="nil"/>
              <w:bottom w:val="single" w:sz="4" w:space="0" w:color="auto"/>
              <w:right w:val="single" w:sz="4" w:space="0" w:color="auto"/>
            </w:tcBorders>
            <w:shd w:val="clear" w:color="000000" w:fill="FFFFFF"/>
            <w:textDirection w:val="btLr"/>
            <w:vAlign w:val="center"/>
            <w:hideMark/>
          </w:tcPr>
          <w:p w14:paraId="1E5F0A91"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Rochat</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(2010)</w:t>
            </w:r>
          </w:p>
        </w:tc>
        <w:tc>
          <w:tcPr>
            <w:tcW w:w="195" w:type="pct"/>
            <w:tcBorders>
              <w:top w:val="nil"/>
              <w:left w:val="nil"/>
              <w:bottom w:val="single" w:sz="4" w:space="0" w:color="auto"/>
              <w:right w:val="single" w:sz="4" w:space="0" w:color="auto"/>
            </w:tcBorders>
            <w:shd w:val="clear" w:color="000000" w:fill="FFFFFF"/>
            <w:textDirection w:val="btLr"/>
            <w:vAlign w:val="center"/>
            <w:hideMark/>
          </w:tcPr>
          <w:p w14:paraId="3F250C7B"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 xml:space="preserve">Gobbens </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229" w:type="pct"/>
            <w:tcBorders>
              <w:top w:val="nil"/>
              <w:left w:val="nil"/>
              <w:bottom w:val="single" w:sz="4" w:space="0" w:color="auto"/>
              <w:right w:val="single" w:sz="4" w:space="0" w:color="auto"/>
            </w:tcBorders>
            <w:shd w:val="clear" w:color="000000" w:fill="FFFFFF"/>
            <w:textDirection w:val="btLr"/>
            <w:vAlign w:val="center"/>
            <w:hideMark/>
          </w:tcPr>
          <w:p w14:paraId="0B5CA02E"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Hoeck</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14:paraId="7B79C1D9"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Hogan</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193" w:type="pct"/>
            <w:tcBorders>
              <w:top w:val="nil"/>
              <w:left w:val="nil"/>
              <w:bottom w:val="single" w:sz="4" w:space="0" w:color="auto"/>
              <w:right w:val="single" w:sz="4" w:space="0" w:color="auto"/>
            </w:tcBorders>
            <w:shd w:val="clear" w:color="000000" w:fill="FFFFFF"/>
            <w:textDirection w:val="btLr"/>
            <w:vAlign w:val="center"/>
            <w:hideMark/>
          </w:tcPr>
          <w:p w14:paraId="090EAA6E"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Schoufour</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(2014)</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14:paraId="12ACF689"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Hirani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(2015)</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14:paraId="107A9E92"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Bentur</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197" w:type="pct"/>
            <w:tcBorders>
              <w:top w:val="nil"/>
              <w:left w:val="nil"/>
              <w:bottom w:val="single" w:sz="4" w:space="0" w:color="auto"/>
              <w:right w:val="single" w:sz="4" w:space="0" w:color="auto"/>
            </w:tcBorders>
            <w:shd w:val="clear" w:color="000000" w:fill="FFFFFF"/>
            <w:textDirection w:val="btLr"/>
            <w:vAlign w:val="center"/>
            <w:hideMark/>
          </w:tcPr>
          <w:p w14:paraId="4B21EE60"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Bock</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32" w:type="pct"/>
            <w:tcBorders>
              <w:top w:val="nil"/>
              <w:left w:val="nil"/>
              <w:bottom w:val="single" w:sz="4" w:space="0" w:color="auto"/>
              <w:right w:val="single" w:sz="4" w:space="0" w:color="auto"/>
            </w:tcBorders>
            <w:shd w:val="clear" w:color="000000" w:fill="FFFFFF"/>
            <w:textDirection w:val="btLr"/>
            <w:vAlign w:val="center"/>
            <w:hideMark/>
          </w:tcPr>
          <w:p w14:paraId="6FC2C093"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 xml:space="preserve">Butler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eastAsia="fr-FR"/>
              </w:rPr>
              <w:t xml:space="preserve"> (2016)</w:t>
            </w:r>
          </w:p>
        </w:tc>
        <w:tc>
          <w:tcPr>
            <w:tcW w:w="230" w:type="pct"/>
            <w:tcBorders>
              <w:top w:val="nil"/>
              <w:left w:val="nil"/>
              <w:bottom w:val="single" w:sz="4" w:space="0" w:color="auto"/>
              <w:right w:val="single" w:sz="4" w:space="0" w:color="auto"/>
            </w:tcBorders>
            <w:shd w:val="clear" w:color="000000" w:fill="FFFFFF"/>
            <w:textDirection w:val="btLr"/>
            <w:vAlign w:val="center"/>
            <w:hideMark/>
          </w:tcPr>
          <w:p w14:paraId="1D62B03B"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Campitelli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67" w:type="pct"/>
            <w:tcBorders>
              <w:top w:val="nil"/>
              <w:left w:val="nil"/>
              <w:bottom w:val="single" w:sz="4" w:space="0" w:color="auto"/>
              <w:right w:val="single" w:sz="4" w:space="0" w:color="auto"/>
            </w:tcBorders>
            <w:shd w:val="clear" w:color="000000" w:fill="FFFFFF"/>
            <w:textDirection w:val="btLr"/>
            <w:vAlign w:val="center"/>
            <w:hideMark/>
          </w:tcPr>
          <w:p w14:paraId="6E0F7F67"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Kelaiditi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67" w:type="pct"/>
            <w:tcBorders>
              <w:top w:val="nil"/>
              <w:left w:val="nil"/>
              <w:bottom w:val="single" w:sz="4" w:space="0" w:color="auto"/>
              <w:right w:val="single" w:sz="4" w:space="0" w:color="auto"/>
            </w:tcBorders>
            <w:shd w:val="clear" w:color="000000" w:fill="FFFFFF"/>
            <w:textDirection w:val="btLr"/>
            <w:vAlign w:val="center"/>
            <w:hideMark/>
          </w:tcPr>
          <w:p w14:paraId="6397868E"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Gonzalez-Colaço</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(2017)</w:t>
            </w:r>
          </w:p>
        </w:tc>
        <w:tc>
          <w:tcPr>
            <w:tcW w:w="334" w:type="pct"/>
            <w:tcBorders>
              <w:top w:val="nil"/>
              <w:left w:val="nil"/>
              <w:bottom w:val="single" w:sz="4" w:space="0" w:color="auto"/>
              <w:right w:val="single" w:sz="4" w:space="0" w:color="auto"/>
            </w:tcBorders>
            <w:shd w:val="clear" w:color="auto" w:fill="auto"/>
            <w:textDirection w:val="btLr"/>
            <w:vAlign w:val="center"/>
            <w:hideMark/>
          </w:tcPr>
          <w:p w14:paraId="4711E468"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Ferrante</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(2018)</w:t>
            </w:r>
          </w:p>
        </w:tc>
        <w:tc>
          <w:tcPr>
            <w:tcW w:w="198" w:type="pct"/>
            <w:tcBorders>
              <w:top w:val="nil"/>
              <w:left w:val="nil"/>
              <w:bottom w:val="single" w:sz="4" w:space="0" w:color="auto"/>
              <w:right w:val="single" w:sz="4" w:space="0" w:color="auto"/>
            </w:tcBorders>
            <w:shd w:val="clear" w:color="auto" w:fill="auto"/>
            <w:textDirection w:val="btLr"/>
            <w:vAlign w:val="center"/>
            <w:hideMark/>
          </w:tcPr>
          <w:p w14:paraId="14743610"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eastAsia="fr-FR"/>
              </w:rPr>
            </w:pPr>
            <w:r w:rsidRPr="00E85D55">
              <w:rPr>
                <w:rFonts w:ascii="Times New Roman" w:eastAsia="Times New Roman" w:hAnsi="Times New Roman"/>
                <w:color w:val="000000"/>
                <w:sz w:val="18"/>
                <w:szCs w:val="20"/>
                <w:lang w:eastAsia="fr-FR"/>
              </w:rPr>
              <w:t xml:space="preserve">Hajek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eastAsia="fr-FR"/>
              </w:rPr>
              <w:t xml:space="preserve"> (2018)</w:t>
            </w:r>
          </w:p>
        </w:tc>
        <w:tc>
          <w:tcPr>
            <w:tcW w:w="232" w:type="pct"/>
            <w:tcBorders>
              <w:top w:val="nil"/>
              <w:left w:val="nil"/>
              <w:bottom w:val="single" w:sz="4" w:space="0" w:color="auto"/>
              <w:right w:val="single" w:sz="4" w:space="0" w:color="auto"/>
            </w:tcBorders>
            <w:shd w:val="clear" w:color="auto" w:fill="auto"/>
            <w:textDirection w:val="btLr"/>
            <w:vAlign w:val="center"/>
            <w:hideMark/>
          </w:tcPr>
          <w:p w14:paraId="494AB3D7"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val="en-US" w:eastAsia="fr-FR"/>
              </w:rPr>
            </w:pPr>
            <w:r w:rsidRPr="00E85D55">
              <w:rPr>
                <w:rFonts w:ascii="Times New Roman" w:eastAsia="Times New Roman" w:hAnsi="Times New Roman"/>
                <w:color w:val="000000"/>
                <w:sz w:val="18"/>
                <w:szCs w:val="20"/>
                <w:lang w:val="en-US" w:eastAsia="fr-FR"/>
              </w:rPr>
              <w:t xml:space="preserve">Lambotte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val="en-US" w:eastAsia="fr-FR"/>
              </w:rPr>
              <w:t xml:space="preserve"> (2018)</w:t>
            </w:r>
          </w:p>
        </w:tc>
        <w:tc>
          <w:tcPr>
            <w:tcW w:w="266" w:type="pct"/>
            <w:tcBorders>
              <w:top w:val="nil"/>
              <w:left w:val="nil"/>
              <w:bottom w:val="single" w:sz="4" w:space="0" w:color="auto"/>
              <w:right w:val="single" w:sz="4" w:space="0" w:color="auto"/>
            </w:tcBorders>
            <w:shd w:val="clear" w:color="auto" w:fill="auto"/>
            <w:textDirection w:val="btLr"/>
            <w:vAlign w:val="center"/>
            <w:hideMark/>
          </w:tcPr>
          <w:p w14:paraId="51E22981"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val="en-US" w:eastAsia="fr-FR"/>
              </w:rPr>
            </w:pPr>
            <w:r w:rsidRPr="00E85D55">
              <w:rPr>
                <w:rFonts w:ascii="Times New Roman" w:eastAsia="Times New Roman" w:hAnsi="Times New Roman"/>
                <w:color w:val="000000"/>
                <w:sz w:val="18"/>
                <w:szCs w:val="20"/>
                <w:lang w:val="en-US" w:eastAsia="fr-FR"/>
              </w:rPr>
              <w:t xml:space="preserve">Verve </w:t>
            </w:r>
            <w:r>
              <w:rPr>
                <w:rFonts w:ascii="Times New Roman" w:eastAsia="Times New Roman" w:hAnsi="Times New Roman"/>
                <w:color w:val="000000"/>
                <w:sz w:val="18"/>
                <w:szCs w:val="20"/>
                <w:lang w:val="en-US" w:eastAsia="fr-FR"/>
              </w:rPr>
              <w:t xml:space="preserve">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val="en-US" w:eastAsia="fr-FR"/>
              </w:rPr>
              <w:t xml:space="preserve"> (2018)</w:t>
            </w:r>
          </w:p>
        </w:tc>
        <w:tc>
          <w:tcPr>
            <w:tcW w:w="264" w:type="pct"/>
            <w:tcBorders>
              <w:top w:val="nil"/>
              <w:left w:val="nil"/>
              <w:bottom w:val="single" w:sz="4" w:space="0" w:color="auto"/>
              <w:right w:val="single" w:sz="4" w:space="0" w:color="auto"/>
            </w:tcBorders>
            <w:textDirection w:val="btLr"/>
          </w:tcPr>
          <w:p w14:paraId="6C5F1101" w14:textId="77777777" w:rsidR="00EE4BF0" w:rsidRPr="00E85D55" w:rsidRDefault="00EE4BF0" w:rsidP="007D1DAE">
            <w:pPr>
              <w:spacing w:after="0"/>
              <w:ind w:left="113" w:right="113"/>
              <w:jc w:val="center"/>
              <w:rPr>
                <w:rFonts w:ascii="Times New Roman" w:eastAsia="Times New Roman" w:hAnsi="Times New Roman"/>
                <w:color w:val="000000"/>
                <w:sz w:val="18"/>
                <w:szCs w:val="20"/>
                <w:lang w:val="en-US" w:eastAsia="fr-FR"/>
              </w:rPr>
            </w:pPr>
            <w:r w:rsidRPr="00E85D55">
              <w:rPr>
                <w:rFonts w:ascii="Times New Roman" w:eastAsia="Times New Roman" w:hAnsi="Times New Roman"/>
                <w:color w:val="000000"/>
                <w:sz w:val="18"/>
                <w:szCs w:val="20"/>
                <w:lang w:val="en-US" w:eastAsia="fr-FR"/>
              </w:rPr>
              <w:t>Number of studies coded 1</w:t>
            </w:r>
          </w:p>
        </w:tc>
      </w:tr>
      <w:tr w:rsidR="00EE4BF0" w:rsidRPr="008C0A90" w14:paraId="50C72AF2" w14:textId="77777777" w:rsidTr="007D1DAE">
        <w:trPr>
          <w:cantSplit/>
          <w:trHeight w:val="351"/>
        </w:trPr>
        <w:tc>
          <w:tcPr>
            <w:tcW w:w="107" w:type="pct"/>
            <w:tcBorders>
              <w:left w:val="single" w:sz="4" w:space="0" w:color="auto"/>
              <w:bottom w:val="single" w:sz="4" w:space="0" w:color="auto"/>
              <w:right w:val="single" w:sz="4" w:space="0" w:color="auto"/>
            </w:tcBorders>
            <w:shd w:val="clear" w:color="000000" w:fill="FFFFFF"/>
            <w:noWrap/>
            <w:vAlign w:val="center"/>
          </w:tcPr>
          <w:p w14:paraId="536C0549"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p>
        </w:tc>
        <w:tc>
          <w:tcPr>
            <w:tcW w:w="883" w:type="pct"/>
            <w:tcBorders>
              <w:top w:val="single" w:sz="4" w:space="0" w:color="auto"/>
              <w:left w:val="single" w:sz="4" w:space="0" w:color="auto"/>
              <w:bottom w:val="single" w:sz="4" w:space="0" w:color="000000"/>
              <w:right w:val="single" w:sz="4" w:space="0" w:color="auto"/>
            </w:tcBorders>
            <w:vAlign w:val="center"/>
          </w:tcPr>
          <w:p w14:paraId="7213B68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Reference number</w:t>
            </w:r>
          </w:p>
        </w:tc>
        <w:tc>
          <w:tcPr>
            <w:tcW w:w="183" w:type="pct"/>
            <w:tcBorders>
              <w:top w:val="nil"/>
              <w:left w:val="nil"/>
              <w:bottom w:val="single" w:sz="4" w:space="0" w:color="auto"/>
              <w:right w:val="single" w:sz="4" w:space="0" w:color="auto"/>
            </w:tcBorders>
            <w:shd w:val="clear" w:color="000000" w:fill="FFFFFF"/>
            <w:vAlign w:val="center"/>
          </w:tcPr>
          <w:p w14:paraId="794F5B25" w14:textId="77777777" w:rsidR="00EE4BF0" w:rsidRPr="00E85D55" w:rsidRDefault="00EE4BF0" w:rsidP="007D1DAE">
            <w:pPr>
              <w:spacing w:after="0"/>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XjsvhU7n","properties":{"formattedCitation":"[15]","plainCitation":"[15]","noteIndex":0},"citationItems":[{"id":"Tlgz5ME1/Q2rA0b6m","uris":["http://zotero.org/groups/2323309/items/9RQJKD2K"],"uri":["http://zotero.org/groups/2323309/items/9RQJKD2K"],"itemData":{"id":"Tlgz5ME1/Q2rA0b6m","type":"article-journal","abstract":"To determine the independent prognostic effect of seven potential frailty criteria, including five from the Fried phenotype, on several adverse outcomes. Prospective cohort study. Greater New Haven, Connecticut. Seven hundred fifty-four initially nondisabled, community-living persons aged 70 and older. An assessment of seven potential frailty criteria (slow gait speed, low physical activity, weight loss, exhaustion, weakness, cognitive impairment, and depressive symptoms) was completed at baseline and every 18 months for 72 months. Participants were followed with monthly telephone interviews for up to 96 months to determine the occurrence of chronic disability, long-term nursing home (NH) stays, injurious falls, and death. In analyses adjusted for age, sex, race, education, number of chronic conditions, and the presence of the other potential frailty criteria, three of the five Fried criteria (slow gait speed, low physical activity, and weight loss) were independently associated with chronic disability, long-term NH stays, and death. Slow gait speed was the strongest predictor of chronic disability (hazard ratio (HR)=2.97, 95% confidence interval (CI)=2.32-3.80) and long-term NH stay (HR=3.86, 95% CI=2.23-6.67) and was the only significant predictor of injurious falls (HR=2.19, 95% CI=1.33-3.60). Cognitive impairment was also associated with chronic disability (HR=1.82, 95% CI=1.40-2.38), long-term NH stay (HR=2.64, 95% CI=1.75-3.99), and death (HR=1.54, 95% CI=1.13-2.10), and the magnitude of these associations was comparable with that of weight loss. The results of this study provide strong evidence to support the use of slow gait speed, low physical activity, weight loss, and cognitive impairment as key indicators of frailty while raising concerns about the value of self-reported exhaustion and muscle weakness.","container-title":"JOURNAL OF THE AMERICAN GERIATRICS SOCIETY","DOI":"10.1111/j.1532-5415.2008.02008.x","ISSN":"0002-8614","issue":"12","page":"2211-2216","title":"Prognostic Significance of Potential Frailty Criteria","volume":"56","author":[{"family":"Rothman","given":"Marc D."},{"family":"Leo-Summers","given":"Linda"},{"family":"Gill","given":"Thomas M."}],"issued":{"date-parts":[["2008",12]]}}}],"schema":"https://github.com/citation-style-language/schema/raw/master/csl-citation.json"}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[15]</w:t>
            </w:r>
            <w:r>
              <w:rPr>
                <w:rFonts w:ascii="Times New Roman" w:eastAsia="Times New Roman" w:hAnsi="Times New Roman"/>
                <w:color w:val="000000"/>
                <w:sz w:val="18"/>
                <w:szCs w:val="20"/>
                <w:lang w:eastAsia="fr-FR"/>
              </w:rPr>
              <w:fldChar w:fldCharType="end"/>
            </w:r>
          </w:p>
        </w:tc>
        <w:tc>
          <w:tcPr>
            <w:tcW w:w="195" w:type="pct"/>
            <w:tcBorders>
              <w:top w:val="nil"/>
              <w:left w:val="nil"/>
              <w:bottom w:val="single" w:sz="4" w:space="0" w:color="auto"/>
              <w:right w:val="single" w:sz="4" w:space="0" w:color="auto"/>
            </w:tcBorders>
            <w:shd w:val="clear" w:color="000000" w:fill="FFFFFF"/>
            <w:vAlign w:val="center"/>
          </w:tcPr>
          <w:p w14:paraId="74689A7E" w14:textId="77777777" w:rsidR="00EE4BF0" w:rsidRPr="00E85D55" w:rsidRDefault="00EE4BF0" w:rsidP="007D1DAE">
            <w:pPr>
              <w:spacing w:after="0"/>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rtXb25jT","properties":{"formattedCitation":"[16]","plainCitation":"[16]","noteIndex":0},"citationItems":[{"id":"Tlgz5ME1/JRVJnGsw","uris":["http://zotero.org/groups/2323309/items/XXJZHIEI"],"uri":["http://zotero.org/groups/2323309/items/XXJZHIEI"],"itemData":{"id":"Tlgz5ME1/JRVJnGsw","type":"article-journal","container-title":"AGE AND AGEING","DOI":"10.1093/ageing/afp257","ISSN":"0002-0729","issue":"2","page":"228-233","title":"Frailty and use of health and community services by community-dwelling older men: the Concord Health and Ageing in Men Project","volume":"39","author":[{"family":"Rochat","given":"Stephane"},{"family":"Cumming","given":"Robert G."},{"family":"Blyth","given":"Fiona"},{"family":"Creasey","given":"Helen"},{"family":"Handelsman","given":"David"},{"family":"Le Couteur","given":"David G."},{"family":"Naganathan","given":"Vasi"},{"family":"Sambrook","given":"Philip N."},{"family":"Seibel","given":"Markus J."},{"family":"Waite","given":"Louise"}],"issued":{"date-parts":[["2010",3]]}}}],"schema":"https://github.com/citation-style-language/schema/raw/master/csl-citation.json"}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[16]</w:t>
            </w:r>
            <w:r>
              <w:rPr>
                <w:rFonts w:ascii="Times New Roman" w:eastAsia="Times New Roman" w:hAnsi="Times New Roman"/>
                <w:color w:val="000000"/>
                <w:sz w:val="18"/>
                <w:szCs w:val="20"/>
                <w:lang w:eastAsia="fr-FR"/>
              </w:rPr>
              <w:fldChar w:fldCharType="end"/>
            </w:r>
          </w:p>
        </w:tc>
        <w:tc>
          <w:tcPr>
            <w:tcW w:w="195" w:type="pct"/>
            <w:tcBorders>
              <w:top w:val="nil"/>
              <w:left w:val="nil"/>
              <w:bottom w:val="single" w:sz="4" w:space="0" w:color="auto"/>
              <w:right w:val="single" w:sz="4" w:space="0" w:color="auto"/>
            </w:tcBorders>
            <w:shd w:val="clear" w:color="000000" w:fill="FFFFFF"/>
            <w:vAlign w:val="center"/>
          </w:tcPr>
          <w:p w14:paraId="6BFBBDF2" w14:textId="77777777" w:rsidR="00EE4BF0" w:rsidRPr="00E85D55" w:rsidRDefault="00EE4BF0" w:rsidP="007D1DAE">
            <w:pPr>
              <w:spacing w:after="0"/>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Z76UAV7i","properties":{"formattedCitation":"[17]","plainCitation":"[17]","noteIndex":0},"citationItems":[{"id":"Tlgz5ME1/HfuYan15","uris":["http://zotero.org/groups/2323309/items/64THRMTJ"],"uri":["http://zotero.org/groups/2323309/items/64THRMTJ"],"itemData":{"id":"Tlgz5ME1/HfuYan15","type":"article-journal","abstract":"Abstract.  Purpose: To assess the predictive validity of frailty and its domains (physical, psychological, and social), as measured by the Tilburg Frailty Indic","container-title":"The Gerontologist","DOI":"10.1093/geront/gnr135","ISSN":"0016-9013","issue":"5","journalAbbreviation":"Gerontologist","language":"en","page":"619-631","source":"academic.oup.com","title":"The Predictive Validity of the Tilburg Frailty Indicator: Disability, Health Care Utilization, and Quality of Life in a Population at Risk","title-short":"The Predictive Validity of the Tilburg Frailty Indicator","volume":"52","author":[{"family":"Gobbens","given":"Robbert J. J."},{"family":"Assen","given":"Marcel A. L. M.","non-dropping-particle":"van"},{"family":"Luijkx","given":"Katrien G."},{"family":"Schols","given":"Jos M. G. A."}],"issued":{"date-parts":[["2012",10,1]]}}}],"schema":"https://github.com/citation-style-language/schema/raw/master/csl-citation.json"}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[17]</w:t>
            </w:r>
            <w:r>
              <w:rPr>
                <w:rFonts w:ascii="Times New Roman" w:eastAsia="Times New Roman" w:hAnsi="Times New Roman"/>
                <w:color w:val="000000"/>
                <w:sz w:val="18"/>
                <w:szCs w:val="20"/>
                <w:lang w:eastAsia="fr-FR"/>
              </w:rPr>
              <w:fldChar w:fldCharType="end"/>
            </w:r>
          </w:p>
        </w:tc>
        <w:tc>
          <w:tcPr>
            <w:tcW w:w="229" w:type="pct"/>
            <w:tcBorders>
              <w:top w:val="nil"/>
              <w:left w:val="nil"/>
              <w:bottom w:val="single" w:sz="4" w:space="0" w:color="auto"/>
              <w:right w:val="single" w:sz="4" w:space="0" w:color="auto"/>
            </w:tcBorders>
            <w:shd w:val="clear" w:color="000000" w:fill="FFFFFF"/>
            <w:vAlign w:val="center"/>
          </w:tcPr>
          <w:p w14:paraId="33B2D597" w14:textId="77777777" w:rsidR="00EE4BF0" w:rsidRPr="00E85D55" w:rsidRDefault="00EE4BF0" w:rsidP="007D1DAE">
            <w:pPr>
              <w:spacing w:after="0"/>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hEf2o00r","properties":{"formattedCitation":"[18]","plainCitation":"[18]","noteIndex":0},"citationItems":[{"id":"Tlgz5ME1/OpNdfn6D","uris":["http://zotero.org/groups/2323309/items/GIB375SX"],"uri":["http://zotero.org/groups/2323309/items/GIB375SX"],"itemData":{"id":"Tlgz5ME1/OpNdfn6D","type":"article-journal","abstract":"Background: The patterns of health- and home-care utilization among Belgian frail elderly persons living at home with varying socio-economic status are currently unknown. Methods: In this cross-sectional study based on a representative sample of 4777 elderly participants (epsilon 65 years) in the Belgian Health Interview Survey the prevalence of frailty, as determined by items referring to the Fried phenotype, was estimated according to age, gender, comorbidity, place of residence, survey year, living situation and socio-economic status. Differing health-care utilization [contacts with a general practitioner (GP), specialist and emergency department; and hospital admission) and home-care utilization (home nursing, home help and meals-on-wheels] patterns among the frail, prefrail and robust subpopulations were examined. Results: Overall, 9.3% respondents (426) were classified as frail, 30.7% (1636) as prefrail and 60.0% (2715) as robust. Frailty was associated with age, gender, comorbidity, region, survey year and socio-economic status. The frail and prefrail groups were more likely than the robust to contact a GP, a specialist or an emergency department and were more likely to be admitted to hospital, independent of age, gender, comorbidity, survey year, living situation, region and socio-economic status. They were also more likely to appeal to home nursing, home help and meals-on-wheels than the robust participants. Conclusion: Even after adjustment for potential confounders, including age, gender and comorbidity, frailty among Belgian elderly persons is associated with their socio-economic status and is strongly associated with their health- and home-care utilization.","container-title":"European Journal of Public Health","DOI":"10.1093/eurpub/ckr133","ISSN":"1101-1262","issue":"5","page":"671-677","title":"Health-care and home-care utilization among frail elderly persons in Belgium","volume":"22","author":[{"family":"Hoeck","given":"Sarah"},{"family":"Francois","given":"Guido"},{"family":"Geerts","given":"Joanna"},{"family":"Van der Heyden","given":"Johan"},{"family":"Vandewoude","given":"Maurits"},{"family":"Van Hal","given":"Guido"}],"issued":{"date-parts":[["2012",10]]}}}],"schema":"https://github.com/citation-style-language/schema/raw/master/csl-citation.json"}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[18]</w:t>
            </w:r>
            <w:r>
              <w:rPr>
                <w:rFonts w:ascii="Times New Roman" w:eastAsia="Times New Roman" w:hAnsi="Times New Roman"/>
                <w:color w:val="000000"/>
                <w:sz w:val="18"/>
                <w:szCs w:val="20"/>
                <w:lang w:eastAsia="fr-FR"/>
              </w:rPr>
              <w:fldChar w:fldCharType="end"/>
            </w:r>
          </w:p>
        </w:tc>
        <w:tc>
          <w:tcPr>
            <w:tcW w:w="176" w:type="pct"/>
            <w:tcBorders>
              <w:top w:val="nil"/>
              <w:left w:val="nil"/>
              <w:bottom w:val="single" w:sz="4" w:space="0" w:color="auto"/>
              <w:right w:val="single" w:sz="4" w:space="0" w:color="auto"/>
            </w:tcBorders>
            <w:shd w:val="clear" w:color="000000" w:fill="FFFFFF"/>
            <w:vAlign w:val="center"/>
          </w:tcPr>
          <w:p w14:paraId="6EB8D240" w14:textId="77777777" w:rsidR="00EE4BF0" w:rsidRPr="008C0A90" w:rsidRDefault="00EE4BF0" w:rsidP="007D1DAE">
            <w:pPr>
              <w:spacing w:after="0"/>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vg9vxmFs","properties":{"formattedCitation":"[27]","plainCitation":"[27]","noteIndex":0},"citationItems":[{"id":"Tlgz5ME1/GHhOopBs","uris":["http://zotero.org/groups/2323309/items/QJV3BDZA"],"uri":["http://zotero.org/groups/2323309/items/QJV3BDZA"],"itemData":{"id":"Tlgz5ME1/GHhOopBs","type":"article-journal","abstract":"Background: Few studies have directly compared the competing approaches to identifying frailty in more vulnerable older populations. We examined the ability of two versions of a frailty index (43 vs. 83 items), the Cardiovascular Health Study (CHS) frailty criteria, and the CHESS scale to accurately predict the occurrence of three outcomes among Assisted Living (AL) residents followed over one year. Methods: The three frailty measures and the CHESS scale were derived from assessment items completed among 1,066 AL residents (aged 65+) participating in the Alberta Continuing Care Epidemiological Studies (ACCES). Adjusted risks of one-year mortality, hospitalization and long-term care placement were estimated for those categorized as frail or pre-frail compared with non-frail (or at high/intermediate vs. low risk on CHESS). The area under the ROC curve (AUC) was calculated for select models to assess the predictive accuracy of the different frailty measures and CHESS scale in relation to the three outcomes examined. Results: Frail subjects defined by the three approaches and those at high risk for decline on CHESS showed a statistically significant increased risk for death and long-term care placement compared with those categorized as either not frail or at low risk for decline. The risk estimates for hospitalization associated with the frailty measures and CHESS were generally weaker with one of the frailty indices (43 items) showing no significant association. For death and long-term care placement, the addition</w:instrText>
            </w:r>
            <w:r w:rsidRPr="008C0A90">
              <w:rPr>
                <w:rFonts w:ascii="Times New Roman" w:eastAsia="Times New Roman" w:hAnsi="Times New Roman"/>
                <w:color w:val="000000"/>
                <w:sz w:val="18"/>
                <w:szCs w:val="20"/>
                <w:lang w:val="en-US" w:eastAsia="fr-FR"/>
              </w:rPr>
              <w:instrText xml:space="preserve"> of frailty (however derived) or CHESS significantly improved on the AUC obtained with a model including only age, sex and co-morbidity, though the magnitude of improvement was sometimes small. The different frailty/risk models did not differ significantly from each other in predicting mortality or hospitalization; however, one of the frailty indices (83 items) showed significantly better performance over the other measures in predicting long-term care placement. Conclusions: Using different approaches, varying degrees of frailty were detected within the AL population. The various approaches to defining frailty were generally more similar than dissimilar with regard to predictive accuracy with some exceptions. The clinical implications and opportunities of detecting frailty in more vulnerable older adults require further investigation.","container-title":"BMC GERIATRICS","DOI":"10.1186/1471-2318-12-56","ISSN":"1471-2318","title":"Comparing frailty measures in their ability to predict adverse outcome among older residents of assisted living","volume":"12","author":[{"family":"Hogan","given":"David B."},{"family":"Freiheit","given":"Elizabeth A."},{"family":"Strain","given":"Laurel A."},{"family":"Patten","given":"Scott B."},{"family":"Schmaltz","given":"Heidi N."},{"family":"Rolfson","given":"Darryl"},{"family":"Maxwell","given":"Colleen J."}],"issued":{"date-parts":[["2012",9,14]]}}}],"schema":"https://github.com/citation-style-language/schema/raw/master/csl-citation.json"}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lang w:val="en-US"/>
              </w:rPr>
              <w:t>[27]</w:t>
            </w:r>
            <w:r>
              <w:rPr>
                <w:rFonts w:ascii="Times New Roman" w:eastAsia="Times New Roman" w:hAnsi="Times New Roman"/>
                <w:color w:val="000000"/>
                <w:sz w:val="18"/>
                <w:szCs w:val="20"/>
                <w:lang w:eastAsia="fr-FR"/>
              </w:rPr>
              <w:fldChar w:fldCharType="end"/>
            </w:r>
          </w:p>
        </w:tc>
        <w:tc>
          <w:tcPr>
            <w:tcW w:w="193" w:type="pct"/>
            <w:tcBorders>
              <w:top w:val="nil"/>
              <w:left w:val="nil"/>
              <w:bottom w:val="single" w:sz="4" w:space="0" w:color="auto"/>
              <w:right w:val="single" w:sz="4" w:space="0" w:color="auto"/>
            </w:tcBorders>
            <w:shd w:val="clear" w:color="000000" w:fill="FFFFFF"/>
            <w:vAlign w:val="center"/>
          </w:tcPr>
          <w:p w14:paraId="4366DDA2" w14:textId="77777777" w:rsidR="00EE4BF0" w:rsidRPr="008C0A90" w:rsidRDefault="00EE4BF0" w:rsidP="007D1DAE">
            <w:pPr>
              <w:spacing w:after="0"/>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F2YdYYKc","properties":{"formattedCitation":"[29]","plainCitation":"[29]","noteIndex":0},"citationItems":[{"id":"Tlgz5ME1/LXklAH6P","uris":["http://zotero.org/groups/2323309/items/3ZE4M3XF"],"uri":["http://zotero.org/groups/2323309/items/3ZE4M3XF"],"itemData":{"id":"Tlgz5ME1/LXklAH6P","type":"article-journal","abstract":"Frailty appears to develop earlier and is more severe in people with intellectual disabilities compared to the general population. The high prevalence of frailty may lead to an increase in care intensity and associated health care costs. Therefore a longitudinal observational study was conducted to determine the effect of frailty on care intensity. The association between frailty and care intensity at baseline and follow-up (3 years later) was assessed. Furthermore, the ability of the frailty index to predict an increase in care intensity after 3 years was evaluated. This study was part of the Dutch `Healthy aging and intellectual disabilities' (HA-ID) study. Frailty was measured at baseline with a frailty index that included 51 health-and age-related deficits. For all participants information on care intensity in seven steps was available, based on long term care indications under the Act on Exceptional Medical Expenses (AWBZ) - a law that finances specialized long-term care. 676 participants (50 years and over) with ID were included in the final analysis. In 26% of the participants, care intensity had increased during the follow-up period. Increased care during the follow-up was related to a high frailty index score at baseline, independent of gender, age, level of ID and the presence of Down syndrome (p = 0.003). After exclusion of ADL and IADL items, the frailty index remained significantly related with increasing care intensity during follow-up (p = 0.007). Our results underline that screening instruments for early detection of frailty and effective interventions are required to limit the burden of frailty for individuals and caregivers, but also to limit health care utilization. (C) 2014 Elsevier Ltd. All rights reserved.","container-title":"RESEARCH IN DEVELOPMENTAL DISABILITIES","DOI":"10.1016/j.ridd.2014.08.006","ISSN":"0891-4222","issue":"12","page":"3455-3461","title":"The impact of frailty on care intensity in older people with intellectual disabilities","volume":"35","author":[{"family":"Schoufour","given":"Josje D."},{"family":"Evenhuis","given":"Heleen M."},{"family":"Echteld","given":"Michael A."}],"issued":{"date-parts":[["2014",12]]}}}],"schema":"https://github.com/citation-style-language/schema/raw/master/csl-citation.json"}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[29]</w:t>
            </w:r>
            <w:r>
              <w:rPr>
                <w:rFonts w:ascii="Times New Roman" w:eastAsia="Times New Roman" w:hAnsi="Times New Roman"/>
                <w:color w:val="000000"/>
                <w:sz w:val="18"/>
                <w:szCs w:val="20"/>
                <w:lang w:val="en-US" w:eastAsia="fr-FR"/>
              </w:rPr>
              <w:fldChar w:fldCharType="end"/>
            </w:r>
          </w:p>
        </w:tc>
        <w:tc>
          <w:tcPr>
            <w:tcW w:w="176" w:type="pct"/>
            <w:tcBorders>
              <w:top w:val="nil"/>
              <w:left w:val="nil"/>
              <w:bottom w:val="single" w:sz="4" w:space="0" w:color="auto"/>
              <w:right w:val="single" w:sz="4" w:space="0" w:color="auto"/>
            </w:tcBorders>
            <w:shd w:val="clear" w:color="000000" w:fill="FFFFFF"/>
            <w:vAlign w:val="center"/>
          </w:tcPr>
          <w:p w14:paraId="5C515768" w14:textId="77777777" w:rsidR="00EE4BF0" w:rsidRPr="008C0A90" w:rsidRDefault="00EE4BF0" w:rsidP="007D1DAE">
            <w:pPr>
              <w:spacing w:after="0"/>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XWVk7SK5","properties":{"formattedCitation":"[20]","plainCitation":"[20]","noteIndex":0},"citationItems":[{"id":"Tlgz5ME1/en6C4HC8","uris":["http://zotero.org/groups/2323309/items/WXD6KH2R"],"uri":["http://zotero.org/groups/2323309/items/WXD6KH2R"],"itemData":{"id":"Tlgz5ME1/en6C4HC8","type":"article-journal","abstract":"Introduction: Sarcopenia is associated with an increased risk of adverse outcomes. The aim of this study was to explore the relationship between severity of sarcopenia and incident activities of daily living (ADL) disability, institutionalization, and all-cause mortality among community-dwelling older men participating in the Concord Health and Ageing in Men Project (CHAMP). Methods: Longitudinal analysis of 1705 participants aged 70 years or older at baseline (2005-2007) living in the community in Sydney, Australia. Measurements: The main outcome measures were incident ADL disability, institutionalization, and mortality. Of the 1705 participants who completed the baseline assessments, a total of 1678 men (mean age 77 years) had complete measures by dual-energy x-ray absorptiometry, to assess sarcopenia in terms of low appendicular lean mass (ALM), using the Foundation for the National Institutes of Health (FNIH) criteria. To differentiate between severity of sarcopenia we used low ALM alone (sarcopenia I), low ALM with weakness (sarcopenia II), and sarcopenia with weakness and poor gait speed (sarcopenia III). Cox proportional hazard models and logistic regression models were used to assess the risk of mortality and institutionalization, and incidence of ADL disability. Results: From baseline to follow-up, 103 (11.3%) men had incident ADL disability, 191 (11.2%) men were institutionalized, and 535 (31.9%) had died. At baseline, 14.2% had sarcopenia I, 5.3% had sarcopenia II, and 3.7% had sarcopenia III. Fully adjusted analysis (adjusted for demographics, lifestyle factors, comorbidities and health conditions, and blood measures) showed that sarcopenia I, II, and III were associated with increased risk of disability, institutionalization, and mortality. Associations between sarcopenia I, II, and III and risk of incident disability were as follows: odds ratio (OR) 2.77 95% confidence interval (CI) 1.30-5.87, OR 3.78 95% CI 1.23-11.64, and OR 4.53 95% CI 0.90-22.72; associations with institutionalization were hazard ratio (HR) 1.96 95% CI 1.14-3.35, HR 2.53 95% CI 1.31-4.90, and HR 2.27 95% CI 1.08-4.80; and with mortality were HR 1.65 95% CI 1.30-2.09, HR 1.50 95% CI 1.08-2.08, and HR 1.69 95% CI 1.17-2.44. Conclusions: This study shows that, in community-dwelling older men, sarcopenia defined by the FNIH criteria is associated with increased risk of incident disability, institutionalization, and mortality. (C) 2015 AMDA - The Society for Post-Acute and Long-Term Care Medicine.","container-title":"JOURNAL OF THE AMERICAN MEDICAL DIRECTORS ASSOCIATION","DOI":"10.1016/j.jamda.2015.02.006","ISSN":"1525-8610","issue":"7","page":"607-613","title":"Sarcopenia Is Associated With Incident Disability, Institutionalization, and Mortality in Community-Dwelling Older Men: The Concord Health and Ageing in Men Project","volume":"16","author":[{"family":"Hirani","given":"Vasant"},{"family":"Blyth","given":"Fiona"},{"family":"Naganathan","given":"Vasi"},{"family":"Le Couteur","given":"David G."},{"family":"Seibel","given":"Markus J."},{"family":"Waite","given":"Louise M."},{"family":"Handelsman","given":"David J."},{"family":"Cumming","given":"Robert G."}],"issued":{"date-parts":[["2015",7,1]]}}}],"schema":"https://github.com/citation-style-language/schema/raw/master/csl-citation.json"}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lang w:val="en-US"/>
              </w:rPr>
              <w:t>[20]</w:t>
            </w:r>
            <w:r>
              <w:rPr>
                <w:rFonts w:ascii="Times New Roman" w:eastAsia="Times New Roman" w:hAnsi="Times New Roman"/>
                <w:color w:val="000000"/>
                <w:sz w:val="18"/>
                <w:szCs w:val="20"/>
                <w:lang w:val="en-US" w:eastAsia="fr-FR"/>
              </w:rPr>
              <w:fldChar w:fldCharType="end"/>
            </w:r>
          </w:p>
        </w:tc>
        <w:tc>
          <w:tcPr>
            <w:tcW w:w="176" w:type="pct"/>
            <w:tcBorders>
              <w:top w:val="nil"/>
              <w:left w:val="nil"/>
              <w:bottom w:val="single" w:sz="4" w:space="0" w:color="auto"/>
              <w:right w:val="single" w:sz="4" w:space="0" w:color="auto"/>
            </w:tcBorders>
            <w:shd w:val="clear" w:color="000000" w:fill="FFFFFF"/>
            <w:vAlign w:val="center"/>
          </w:tcPr>
          <w:p w14:paraId="37931C87" w14:textId="77777777" w:rsidR="00EE4BF0" w:rsidRPr="008C0A90" w:rsidRDefault="00EE4BF0" w:rsidP="007D1DAE">
            <w:pPr>
              <w:spacing w:after="0"/>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O45KFgk7","properties":{"formattedCitation":"[19]","plainCitation":"[19]","noteIndex":0},"citationItems":[{"id":"Tlgz5ME1/nA4YZCGC","uris":["http://zotero.org/groups/2323309/items/ACPQGRIR"],"uri":["http://zotero.org/groups/2323309/items/ACPQGRIR"],"itemData":{"id":"Tlgz5ME1/nA4YZCGC","type":"article-journal","abstract":"Background: Frailty is a dynamic process with transitions over time. Objectives: To examine frailty transitions and their relationship to utilization of health services. Methods: Frailty status using the Vulnerable Elders Survey (VES-13) was determined for 608 community-dwelling older people interviewed in a 2008 national survey and for 281 re-interviewed in 2014. The effect of frailty on death 6 years later was assessed using Cox proportional hazards analysis. Participants were divided into four groups based on their frailty transition. Demographic, functional and health characteristics were compared between the four groups using the Kruskal-Wallis and paired t-test. The independent association between the four frailty groups and health services utilization was assessed using logistic regression. Results: Between 2008 and 2014, 24% of 608 participants were lost to follow-up, 9% were non-frail, 37% were frail, and 30% died. The Cox ratio showed that 86% of the non-frail in 2008 were alive 6 years later vs. 52% of the frail (hazard ratio 3.5, confidence interval 2.2–5.4). Frailty transitions in the 281 participants interviewed at both time points revealed that 19% stayed non-frail, 22% became frail, 22% stayed frail and 37% became more frail. Becoming frail, staying frail or becoming more frail compared to staying non-frail was independently associated with a greater risk for requiring help on a regular basis, having a formal caregiver, and requiring home care. Conclusions: Any transition away from the non-frail state increased the use of health care services. Interventions to target early transition to frailty should be encouraged.","archive":"Embase","container-title":"Israel Medical Association Journal","ISSN":"1565-1088","issue":"8","journalAbbreviation":"Isr. Med. Assoc. J.","language":"English","page":"449-453","title":"Frailty transitions in community-dwelling older people","volume":"18","author":[{"literal":"Bentur N."},{"literal":"Sternberg S.A."},{"literal":"Shuldiner J."}],"issued":{"date-parts":[["2016"]]}}}],"schema":"https://github.com/citation-style-language/schema/raw/master/csl-citation.json"}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[19]</w:t>
            </w:r>
            <w:r>
              <w:rPr>
                <w:rFonts w:ascii="Times New Roman" w:eastAsia="Times New Roman" w:hAnsi="Times New Roman"/>
                <w:color w:val="000000"/>
                <w:sz w:val="18"/>
                <w:szCs w:val="20"/>
                <w:lang w:val="en-US" w:eastAsia="fr-FR"/>
              </w:rPr>
              <w:fldChar w:fldCharType="end"/>
            </w:r>
          </w:p>
        </w:tc>
        <w:tc>
          <w:tcPr>
            <w:tcW w:w="197" w:type="pct"/>
            <w:tcBorders>
              <w:top w:val="nil"/>
              <w:left w:val="nil"/>
              <w:bottom w:val="single" w:sz="4" w:space="0" w:color="auto"/>
              <w:right w:val="single" w:sz="4" w:space="0" w:color="auto"/>
            </w:tcBorders>
            <w:shd w:val="clear" w:color="000000" w:fill="FFFFFF"/>
            <w:vAlign w:val="center"/>
          </w:tcPr>
          <w:p w14:paraId="21BA4887" w14:textId="77777777" w:rsidR="00EE4BF0" w:rsidRPr="008C0A90" w:rsidRDefault="00EE4BF0" w:rsidP="007D1DAE">
            <w:pPr>
              <w:spacing w:after="0"/>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i0iH31k2","properties":{"formattedCitation":"[21]","plainCitation":"[21]","noteIndex":0},"citationItems":[{"id":"Tlgz5ME1/r7trlIAN","uris":["http://zotero.org/groups/2323309/items/BQWGYLBA"],"uri":["http://zotero.org/groups/2323309/items/BQWGYLBA"],"itemData":{"id":"Tlgz5ME1/r7trlIAN","type":"article-journal","abstract":"The concept of frailty is rapidly gaining attention as an independent syndrome with high prevalence in older adults. Thereby, frailty is often related to certain adverse outcomes like mortality or disability. Another adverse outcome discussed is increased health care utilization. However, only few studies examined the impact of frailty on health care utilization and corresponding costs. The aim of this study was therefore to investigate comprehensively the relationship between frailty, health care utilization and costs.","container-title":"BMC Health Services Research","DOI":"10.1186/s12913-016-1360-3","ISSN":"1472-6963","issue":"1","journalAbbreviation":"BMC Health Services Research","page":"128","source":"BioMed Central","title":"Associations of frailty with health care costs – results of the ESTHER cohort study","volume":"16","author":[{"family":"Bock","given":"Jens-Oliver"},{"family":"König","given":"Hans-Helmut"},{"family":"Brenner","given":"Hermann"},{"family":"Haefeli","given":"Walter E."},{"family":"Quinzler","given":"Renate"},{"family":"Matschinger","given":"Herbert"},{"family":"Saum","given":"Kai-Uwe"},{"family":"Schöttker","given":"Ben"},{"family":"Heider","given":"Dirk"}],"issued":{"date-parts":[["2016",4,14]]}}}],"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[21]</w:t>
            </w:r>
            <w:r>
              <w:rPr>
                <w:rFonts w:ascii="Times New Roman" w:eastAsia="Times New Roman" w:hAnsi="Times New Roman"/>
                <w:color w:val="000000"/>
                <w:sz w:val="18"/>
                <w:szCs w:val="20"/>
                <w:lang w:val="en-US" w:eastAsia="fr-FR"/>
              </w:rPr>
              <w:fldChar w:fldCharType="end"/>
            </w:r>
          </w:p>
        </w:tc>
        <w:tc>
          <w:tcPr>
            <w:tcW w:w="232" w:type="pct"/>
            <w:tcBorders>
              <w:top w:val="nil"/>
              <w:left w:val="nil"/>
              <w:bottom w:val="single" w:sz="4" w:space="0" w:color="auto"/>
              <w:right w:val="single" w:sz="4" w:space="0" w:color="auto"/>
            </w:tcBorders>
            <w:shd w:val="clear" w:color="000000" w:fill="FFFFFF"/>
            <w:vAlign w:val="center"/>
          </w:tcPr>
          <w:p w14:paraId="027D2296" w14:textId="77777777" w:rsidR="00EE4BF0" w:rsidRPr="008C0A90" w:rsidRDefault="00EE4BF0" w:rsidP="007D1DAE">
            <w:pPr>
              <w:spacing w:after="0"/>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IwEmVhIi","properties":{"formattedCitation":"[30]","plainCitation":"[30]","noteIndex":0},"citationItems":[{"id":"Tlgz5ME1/gPbw0VcX","uris":["http://zotero.org/groups/2323309/items/E7PBGZVI"],"uri":["http://zotero.org/groups/2323309/items/E7PBGZVI"],"itemData":{"id":"Tlgz5ME1/gPbw0VcX","type":"article-journal","abstract":"ObjectivesDementia draws on a variety of public and private resources. There is increasing pressure to define the cost components in this area to improve resource allocation and accountability. The aim of this study was to characterize frailty in a group of cognitively impaired community-dwelling elders and evaluate its relationship with cost and resource utilization. MethodsWe assessed a cross-sectional, convenient sample of 115 cognitively impaired patients of age &gt;55years who attended the National Memory Clinic in St James' University Hospital, a Trinity College-affiliated hospital in Dublin, Ireland. Participants had a clinical diagnosis of possible Alzheimer's disease or mild cognitive impairment. Frailty was measured using the biological syndrome model. Formal health and social care costs and daily informal caregiving costs were collected and the total costs of care estimated by applying the appropriate unit cost estimate for each resource activity. Stepwise regression models were constructed to establish the factors associated with increased care costs. ResultsPatient dependence, frailty and number of co-morbid illnesses explained 43.3% of the variance in observed daily informal care costs in dementia and cognitively impaired patients. Dependence was the sole factor retained in an optimal model explaining 19% of the variance in formal health and social care costs. ConclusionFrailty retained a strong association with daily informal care costs even in the context of other known risk factors for increasing care costs. Interventions that reduce frailty as well as patient dependence on others may be associated with cost savings. Copyright (c) 2015 John Wiley &amp; Sons, Ltd.","container-title":"INTERNATIONAL JOURNAL OF GERIATRIC PSYCHIATRY","DOI":"10.1002/gps.4306","ISSN":"0885-6230","issue":"2","page":"161-168","title":"Frailty: a costly phenomenon in caring for elders with cognitive impairment","volume":"31","author":[{"family":"Butler","given":"Aine"},{"family":"Gallagher","given":"Damien"},{"family":"Gillespie","given":"Paddy"},{"family":"Crosby","given":"Lisa"},{"family":"Ryan","given":"Deirdre"},{"family":"Lacey","given":"Loretto"},{"family":"Coen","given":"Robert"},{"family":"O'Shea","given":"Eamon"},{"family":"Lawlor","given":"Brian"}],"issued":{"date-parts":[["2016",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[30]</w:t>
            </w:r>
            <w:r>
              <w:rPr>
                <w:rFonts w:ascii="Times New Roman" w:eastAsia="Times New Roman" w:hAnsi="Times New Roman"/>
                <w:color w:val="000000"/>
                <w:sz w:val="18"/>
                <w:szCs w:val="20"/>
                <w:lang w:val="en-US" w:eastAsia="fr-FR"/>
              </w:rPr>
              <w:fldChar w:fldCharType="end"/>
            </w:r>
          </w:p>
        </w:tc>
        <w:tc>
          <w:tcPr>
            <w:tcW w:w="230" w:type="pct"/>
            <w:tcBorders>
              <w:top w:val="nil"/>
              <w:left w:val="nil"/>
              <w:bottom w:val="single" w:sz="4" w:space="0" w:color="auto"/>
              <w:right w:val="single" w:sz="4" w:space="0" w:color="auto"/>
            </w:tcBorders>
            <w:shd w:val="clear" w:color="000000" w:fill="FFFFFF"/>
            <w:vAlign w:val="center"/>
          </w:tcPr>
          <w:p w14:paraId="15A4892B" w14:textId="77777777" w:rsidR="00EE4BF0" w:rsidRPr="008C0A90" w:rsidRDefault="00EE4BF0" w:rsidP="007D1DAE">
            <w:pPr>
              <w:spacing w:after="0"/>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oYCUZSUt","properties":{"formattedCitation":"[28]","plainCitation":"[28]","noteIndex":0},"citationItems":[{"id":"Tlgz5ME1/Cje3Gphi","uris":["http://zotero.org/groups/2323309/items/FCY6SQWP"],"uri":["http://zotero.org/groups/2323309/items/FCY6SQWP"],"itemData":{"id":"Tlgz5ME1/Cje3Gphi","type":"article-journal","abstract":"Background: Evaluating different approaches to identifying frail home care clients at heightened risk for adverse health outcomes is an important but understudied area. Our objectives were to determine the prevalence and correlates of frailty (as operationally defined by three measures) in a home care cohort, the agreement between these measures, and their predictive validity for several outcomes assessed over one year. Methods: We conducted a retrospective cohort study with linked population-based administrative and clinical (Resident Assessment Instrument [RAI]) data for all long-stay home care clients (aged 66+) assessed between April 2010-2013 in Ontario, Canada (n = 234,552). We examined two versions of a frailty index (FI), a full and modified FI, and the CHESS scale, compared their baseline characteristics and their predictive accuracy (by calculating the area under the ROC curve [AUC]) for death, long-term care (LTC) admission, and hospitalization endpoints in models adjusted for age, sex and comorbidity. Results: Frailty prevalence varied by measure (19.5, 24.4 and 44.1 %, for full FI, modified FI and CHESS, respectively) and was similar among female and male clients. All three measures were associated with a significantly increased risk of death, LTC admission and hospitalization endpoints in adjusted analyses but their addition to base models resulted in modest improvement for most AUC estimates. There were significant differences between measures in predictive accuracy, with the full FI demonstrating a higher AUC for LTC admission and CHESS a higher AUC for hospitalization - although none of the measures performed well for the hospitalization endpoints. Conclusions: The different approaches to detecting vulnerability resulted in different estimates of frailty prevalence among home care clients in Ontario. Although all three measures were significant predictors of the health outcomes examined, the gains in predictive accuracy were often modest with the exception of the full FI in predicting LTC admission. Our findings provide some support for the clinical utility of a comprehensive FI measure and also illustrate that it is feasible to derive such a measure at the population level using routinely collected data. This may facilitate further research on frailty in this setting, including the development and evaluation of interventions for frailty.","container-title":"BMC GERIATRICS","DOI":"10.1186/s12877-016-0309-z","ISSN":"1471-2318","title":"The prevalence and health consequences of frailty in a population-based older home care cohort: a comparison of different measures","volume":"16","author":[{"family":"Campitelli","given":"Michael A."},{"family":"Bronskill","given":"Susan E."},{"family":"Hogan","given":"David B."},{"family":"Diong","given":"Christina"},{"family":"Amuah","given":"Joseph E."},{"family":"Gill","given":"Sudeep"},{"family":"Seitz","given":"Dallas"},{"family":"Thavorn","given":"Kednapa"},{"family":"Wodchis","given":"Walter P."},{"family":"Maxwell","given":"Colleen J."}],"issued":{"date-parts":[["2016",7,7]]}}}],"schema":"https://github.com/citation-style-language/schema/raw/master/csl-citation.json"}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lang w:val="en-US"/>
              </w:rPr>
              <w:t>[28]</w:t>
            </w:r>
            <w:r>
              <w:rPr>
                <w:rFonts w:ascii="Times New Roman" w:eastAsia="Times New Roman" w:hAnsi="Times New Roman"/>
                <w:color w:val="000000"/>
                <w:sz w:val="18"/>
                <w:szCs w:val="20"/>
                <w:lang w:val="en-US" w:eastAsia="fr-FR"/>
              </w:rPr>
              <w:fldChar w:fldCharType="end"/>
            </w:r>
          </w:p>
        </w:tc>
        <w:tc>
          <w:tcPr>
            <w:tcW w:w="267" w:type="pct"/>
            <w:tcBorders>
              <w:top w:val="nil"/>
              <w:left w:val="nil"/>
              <w:bottom w:val="single" w:sz="4" w:space="0" w:color="auto"/>
              <w:right w:val="single" w:sz="4" w:space="0" w:color="auto"/>
            </w:tcBorders>
            <w:shd w:val="clear" w:color="000000" w:fill="FFFFFF"/>
            <w:vAlign w:val="center"/>
          </w:tcPr>
          <w:p w14:paraId="642F04B2" w14:textId="77777777" w:rsidR="00EE4BF0" w:rsidRPr="008C0A90" w:rsidRDefault="00EE4BF0" w:rsidP="007D1DAE">
            <w:pPr>
              <w:spacing w:after="0"/>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MbTw8qNF","properties":{"formattedCitation":"[31]","plainCitation":"[31]","noteIndex":0},"citationItems":[{"id":"Tlgz5ME1/VOzqoHYm","uris":["http://zotero.org/groups/2323309/items/3F3VBBQA"],"uri":["http://zotero.org/groups/2323309/items/3F3VBBQA"],"itemData":{"id":"Tlgz5ME1/VOzqoHYm","type":"article-journal","abstract":"AbstractBackground. .  The identification of an objective evaluation of frailty capable of predicting adverse outcomes in Alzheimer’s disease is increasingly di","container-title":"The Journals of Gerontology: Series A","DOI":"10.1093/gerona/glv137","ISSN":"1079-5006","issue":"4","journalAbbreviation":"J Gerontol A Biol Sci Med Sci","language":"en","page":"543-548","source":"academic.oup.com","title":"Frailty Index and Incident Mortality, Hospitalization, and Institutionalization in Alzheimer’s Disease: Data From the ICTUS Study","title-short":"Frailty Index and Incident Mortality, Hospitalization, and Institutionalization in Alzheimer’s Disease","volume":"71","author":[{"family":"Kelaiditi","given":"Eirini"},{"family":"Andrieu","given":"Sandrine"},{"family":"Cantet","given":"Christelle"},{"family":"Vellas","given":"Bruno"},{"family":"Cesari","given":"Matteo"}],"issued":{"date-parts":[["2016",4,1]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[31]</w:t>
            </w:r>
            <w:r>
              <w:rPr>
                <w:rFonts w:ascii="Times New Roman" w:eastAsia="Times New Roman" w:hAnsi="Times New Roman"/>
                <w:color w:val="000000"/>
                <w:sz w:val="18"/>
                <w:szCs w:val="20"/>
                <w:lang w:val="en-US" w:eastAsia="fr-FR"/>
              </w:rPr>
              <w:fldChar w:fldCharType="end"/>
            </w:r>
          </w:p>
        </w:tc>
        <w:tc>
          <w:tcPr>
            <w:tcW w:w="267" w:type="pct"/>
            <w:tcBorders>
              <w:top w:val="nil"/>
              <w:left w:val="nil"/>
              <w:bottom w:val="single" w:sz="4" w:space="0" w:color="auto"/>
              <w:right w:val="single" w:sz="4" w:space="0" w:color="auto"/>
            </w:tcBorders>
            <w:shd w:val="clear" w:color="000000" w:fill="FFFFFF"/>
            <w:vAlign w:val="center"/>
          </w:tcPr>
          <w:p w14:paraId="7AD41BD8" w14:textId="77777777" w:rsidR="00EE4BF0" w:rsidRPr="008C0A90" w:rsidRDefault="00EE4BF0" w:rsidP="007D1DAE">
            <w:pPr>
              <w:spacing w:after="0"/>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y0vyDkTZ","properties":{"formattedCitation":"[22]","plainCitation":"[22]","noteIndex":0},"citationItems":[{"id":"Tlgz5ME1/KOzpAbQu","uris":["http://zotero.org/groups/2323309/items/FRMGSS2W"],"uri":["http://zotero.org/groups/2323309/items/FRMGSS2W"],"itemData":{"id":"Tlgz5ME1/KOzpAbQu","type":"article-journal","abstract":"Background\nDespite several attempts to reach a single definition of frailty, no consensus has been reached. The definitions previously published have tried to prove its utility in predicting negative health outcomes. The objective of the present study is to compare the predictive value of 3 different frailty instruments, for selected outcomes.\nMethods\nThe study sample includes 1278 participants of the Three-City study, a French prospective population-based study, assessed for frailty using Fried's phenotype criteria, Rockwood's Frailty Index and Tilburg Frailty Indicator. To assess the risk of mortality, incident disability, falls, institutionalization and hospitalization for a follow up period of 12 years, Cox proportional hazard models with delayed entry have been used. The area under the time-dependent ROC curve has been used to estimate and compare the ability of the three instruments of frailty to predict the previous adverse outcomes at 12 years.\nResults\nFive hundred ninety four participants were identified as non-robust with Fried's criteria; 169 with Rockwood's FI and 303 with TFI. The three scales consistently identified 91 participants as non-robust and 574 as robust. Rockwood's FI was a statistically significant predictor of mortality, incident disability and falls, and a strong predictor of hospitalization.\nConclusion\nIn the absence of a “gold standard” definition of frailty, a debate on what measures and how to include them is open. A clue may be that one should select the appropriate definition according to the to-be predicted outcome, the setting and the underlying etiology of frailty.","container-title":"Archives of Gerontology and Geriatrics","DOI":"10.1016/j.archger.2017.06.005","ISSN":"0167-4943","journalAbbreviation":"Archives of Gerontology and Geriatrics","page":"153-163","source":"ScienceDirect","title":"Comparing the predictive value of three definitions of frailty: Results from the Three-City study.","title-short":"Comparing the predictive value of three definitions of frailty","volume":"72","author":[{"family":"Gonzalez-Colaço Harmand","given":"Magali"},{"family":"Meillon","given":"Céline"},{"family":"Bergua","given":"Valérie"},{"family":"Tabue Teguo","given":"Maturin"},{"family":"Dartigues","given":"Jean-François"},{"family":"Avila-Funes","given":"José Alberto"},{"family":"Amieva","given":"Hélène"}],"issued":{"date-parts":[["2017",9,1]]}}}],"schema":"https://github.com/citation-style-language/schema/raw/master/csl-citation.json"}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[22]</w:t>
            </w:r>
            <w:r>
              <w:rPr>
                <w:rFonts w:ascii="Times New Roman" w:eastAsia="Times New Roman" w:hAnsi="Times New Roman"/>
                <w:color w:val="000000"/>
                <w:sz w:val="18"/>
                <w:szCs w:val="20"/>
                <w:lang w:val="en-US" w:eastAsia="fr-FR"/>
              </w:rPr>
              <w:fldChar w:fldCharType="end"/>
            </w:r>
          </w:p>
        </w:tc>
        <w:tc>
          <w:tcPr>
            <w:tcW w:w="334" w:type="pct"/>
            <w:tcBorders>
              <w:top w:val="nil"/>
              <w:left w:val="nil"/>
              <w:bottom w:val="single" w:sz="4" w:space="0" w:color="auto"/>
              <w:right w:val="single" w:sz="4" w:space="0" w:color="auto"/>
            </w:tcBorders>
            <w:shd w:val="clear" w:color="auto" w:fill="auto"/>
            <w:vAlign w:val="center"/>
          </w:tcPr>
          <w:p w14:paraId="363D1EFC" w14:textId="77777777" w:rsidR="00EE4BF0" w:rsidRPr="008C0A90" w:rsidRDefault="00EE4BF0" w:rsidP="007D1DAE">
            <w:pPr>
              <w:spacing w:after="0"/>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tDLnP3pA","properties":{"formattedCitation":"[23]","plainCitation":"[23]","noteIndex":0},"citationItems":[{"id":"Tlgz5ME1/qVuImVNC","uris":["http://zotero.org/groups/2323309/items/DY2KLTX2"],"uri":["http://zotero.org/groups/2323309/items/DY2KLTX2"],"itemData":{"id":"Tlgz5ME1/qVuImVNC","type":"article-journal","abstract":"BACKGROUND: Frailty is a strong indicator of vulnerability among older persons, but its association with ICU outcomes has not been evaluated prospectively (ie, with objectivemeasurements obtained prior to ICU admission). Our objective was to prospectively evaluate the relationship between frailty and post-ICU disability, incident nursing home admission, and death. METHODS: The parent cohort included 754 adults aged &gt;= 70 years, who were evaluated monthly for disability in 13 functional activities and every 18 months for frailty (1998-2014). Frailty was assessed using the Fried index, where frailty, prefrailty, and nonfrailty were defined, respectively, as at least three, one or two, and zero criteria (of five). The analytic sample included 391 ICU admissions. RESULTS: The mean age was 84.0 years. Frailty and prefrailty were present prior to 213 (54.5%) and 140 (35.8%) of the 391 admissions, respectively. Relative to nonfrailty, frailty was associated with 41% greater disability over the 6 months following a critical illness (adjusted risk ratio, 1.41; 95% CI, 1.12-1.78); prefrailty conferred 28% greater disability (adjusted risk ratio, 1.28; 95% CI, 1.01-1.63). Frailty (odds ratio, 3.52; 95% CI, 1.23-10.08), but not prefrailty (odds ratio, 2.01; 95% CI, 0.77-5.24), was associated with increased nursing home admission. Each one-point increase in frailty count (range, 0-5) was associated with double the likelihood of death (hazard ratio, 2.00; 95% CI, 1.33-3.00) through 6 months of follow-up. CONCLUSIONS: Pre-ICU frailty status was associated with increased post-ICU disability and new nursing home admission among ICU survivors, and death among all admissions. Pre-ICU frailty status may provide prognostic information about outcomes after a critical illness.","container-title":"Chest","DOI":"10.1016/j.chest.2018.03.007","ISSN":"0012-3692","issue":"6","page":"1378-1386","title":"The Association of Frailty With Post-ICU Disability, Nursing Home Admission, and Mortality A Longitudinal Study","volume":"153","author":[{"family":"Ferrante","given":"Lauren E."},{"family":"Pisani","given":"Margaret A."},{"family":"Murphy","given":"Terrence E."},{"family":"Gahbauer","given":"Evelyne A."},{"family":"Leo-Summers","given":"Linda S."},{"family":"Gill","given":"Thomas M."}],"issued":{"date-parts":[["2018",6]]}}}],"schema":"https://github.com/citation-style-language/schema/raw/master/csl-citation.json"}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[23]</w:t>
            </w:r>
            <w:r>
              <w:rPr>
                <w:rFonts w:ascii="Times New Roman" w:eastAsia="Times New Roman" w:hAnsi="Times New Roman"/>
                <w:color w:val="000000"/>
                <w:sz w:val="18"/>
                <w:szCs w:val="20"/>
                <w:lang w:val="en-US" w:eastAsia="fr-FR"/>
              </w:rPr>
              <w:fldChar w:fldCharType="end"/>
            </w:r>
          </w:p>
        </w:tc>
        <w:tc>
          <w:tcPr>
            <w:tcW w:w="198" w:type="pct"/>
            <w:tcBorders>
              <w:top w:val="nil"/>
              <w:left w:val="nil"/>
              <w:bottom w:val="single" w:sz="4" w:space="0" w:color="auto"/>
              <w:right w:val="single" w:sz="4" w:space="0" w:color="auto"/>
            </w:tcBorders>
            <w:shd w:val="clear" w:color="auto" w:fill="auto"/>
            <w:vAlign w:val="center"/>
          </w:tcPr>
          <w:p w14:paraId="61DA8A94" w14:textId="77777777" w:rsidR="00EE4BF0" w:rsidRPr="008C0A90" w:rsidRDefault="00EE4BF0" w:rsidP="007D1DAE">
            <w:pPr>
              <w:spacing w:after="0"/>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cj8BxwUa","properties":{"formattedCitation":"[24]","plainCitation":"[24]","noteIndex":0},"citationItems":[{"id":"Tlgz5ME1/jIgbjt3N","uris":["http://zotero.org/groups/2323309/items/WKK5RUW4"],"uri":["http://zotero.org/groups/2323309/items/WKK5RUW4"],"itemData":{"id":"Tlgz5ME1/jIgbjt3N","type":"article-journal","abstract":"Objective: to investigate how frailty and frailty symptoms affect healthcare costs in older age longitudinally. Methods: data were gathered from a prospective cohort study in Saarland, Germany (two waves with 3-year interval, n = 1,636 aged 57-84 years at baseline). Frailty was assessed by the five Fried frailty criteria. Frailty was defined as having at least three criteria, the presence of 1-2 criteria as `pre-frail'. Healthcare costs were quantified based on self-reported healthcare use in the sectors of inpatient treatment, outpatient treatment, professional nursing care and informal care as well as the provision of pharmaceuticals, medical supplies and dental prostheses. Results: while the onset of pre-frailty did not increase (log) total healthcare costs after adjusting for potential confounders including comorbidity, progression from non-frailty to frailty was associated with an increase in total healthcare costs (for example, costs increased by similar to 54 and 101% if 3 and 4 or 5 symptoms were present, respectively). This association of frailty onset with increased healthcare costs was in particular observed in the inpatient sector and for informal nursing care. Among the frailty symptoms, the onset of exhaustion was associated with an increase in total healthcare costs, whereas changes in slowness, weakness, weight loss and low-physical activity were not significantly associated with an increase in total healthcare costs. Conclusions: our data stress the economic relevance of frailty in late life. Postponing or reducing frailty might be fruitful in order to reduce healthcare costs.","container-title":"Age and Ageing","DOI":"10.1093/ageing/afx157","ISSN":"0002-0729","issue":"2","page":"233-241","title":"Frailty and healthcare costs-longitudinal results of a prospective cohort study","volume":"47","author":[{"family":"Hajek","given":"Andre"},{"family":"Bock","given":"Jens-Oliver"},{"family":"Saum","given":"Kai-Uwe"},{"family":"Matschinger","given":"Herbert"},{"family":"Brenner","given":"Hermann"},{"family":"Holleczek","given":"Bernd"},{"family":"Haefeli","given":"Walter E."},{"family":"Heider","given":"Dirk"},{"family":"Koenig","given":"Hans-Helmut"}],"issued":{"date-parts":[["2018",3]]}}}],"schema":"https://github.com/citation-style-language/schema/raw/master/csl-citation.json"}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[24]</w:t>
            </w:r>
            <w:r>
              <w:rPr>
                <w:rFonts w:ascii="Times New Roman" w:eastAsia="Times New Roman" w:hAnsi="Times New Roman"/>
                <w:color w:val="000000"/>
                <w:sz w:val="18"/>
                <w:szCs w:val="20"/>
                <w:lang w:val="en-US" w:eastAsia="fr-FR"/>
              </w:rPr>
              <w:fldChar w:fldCharType="end"/>
            </w:r>
          </w:p>
        </w:tc>
        <w:tc>
          <w:tcPr>
            <w:tcW w:w="232" w:type="pct"/>
            <w:tcBorders>
              <w:top w:val="nil"/>
              <w:left w:val="nil"/>
              <w:bottom w:val="single" w:sz="4" w:space="0" w:color="auto"/>
              <w:right w:val="single" w:sz="4" w:space="0" w:color="auto"/>
            </w:tcBorders>
            <w:shd w:val="clear" w:color="auto" w:fill="auto"/>
            <w:vAlign w:val="center"/>
          </w:tcPr>
          <w:p w14:paraId="18033239" w14:textId="77777777" w:rsidR="00EE4BF0" w:rsidRPr="00E85D55" w:rsidRDefault="00EE4BF0" w:rsidP="007D1DAE">
            <w:pPr>
              <w:spacing w:after="0"/>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b7PlVdov","properties":{"formattedCitation":"[25]","plainCitation":"[25]","noteIndex":0},"citationItems":[{"id":"Tlgz5ME1/w8zQzNF6","uris":["http://zotero.org/groups/2323309/items/KM7X4SHD"],"uri":["http://zotero.org/groups/2323309/items/KM7X4SHD"],"itemData":{"id":"Tlgz5ME1/w8zQzNF6","type":"article-journal","abstract":"Objectives: This study examines different combinations of informal and formal care use of older adults and investigates whether these combinations differ in terms of need for care (physical and psychological frailty) and enabling factors for informal and formal care use (social and environmental frailty). Methods: Using cross-sectional data from the Belgian Ageing Studies (survey, N = 38,066 community-dwelling older adults), Latent Class Analysis (LCA) is used to identify combinations of informal and formal care use. Bivariate analyses are used to explore the relationship between the different combinations of care use and frailty. Results: Latent Class Analysis (LCA) identified 8 different types of care use, which vary in combinations of informal and formal caregivers. Older adults who are more likely to combine care from family and care from all types of formal caregivers are more physically, psychologically and environmentally frail than expected. Older adults who are more likely to receive care only from nuclear family, or only from formal caregivers are more socially frail than expected. Conclusions: Older adults with a higher need for care are more likely to receive care from different types of informal and formal caregivers. High environmental frailty and low social frailty are related with the use of care from different types of informal and formal caregivers. This study confirms that informal care can act as substitute for formal care. However, this substitute relationship becomes a complementary relationship in frail older adults. Policymakers should take into account that frailty in older adults affects the use of informal and formal care.","container-title":"ARCHIVES OF GERONTOLOGY AND GERIATRICS","DOI":"10.1016/j.archger.2018.05.018","ISSN":"0167-4943","page":"69-77","title":"Frailty differences in older adults' use of informal and formal care","volume":"79","author":[{"family":"Lambotte","given":"Deborah"},{"family":"De Donder","given":"Liesbeth"},{"family":"Van Regenmortel","given":"Sofie"},{"family":"Fret","given":"Bram"},{"family":"Dury","given":"Sarah"},{"family":"Smetcoren","given":"An-Sofie"},{"family":"Dierckx","given":"Eva"},{"family":"De Witte","given":"Nico"},{"family":"Verte","given":"Dominique"},{"family":"Kardol","given":"Martinus J. M."},{"family":"Consortium","given":"D.-SCOPE"}],"issued":{"date-parts":[["2018",12]]}}}],"schema":"https://github.com/citation-style-language/schema/raw/master/csl-citation.json"}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[25]</w:t>
            </w:r>
            <w:r>
              <w:rPr>
                <w:rFonts w:ascii="Times New Roman" w:eastAsia="Times New Roman" w:hAnsi="Times New Roman"/>
                <w:color w:val="000000"/>
                <w:sz w:val="18"/>
                <w:szCs w:val="20"/>
                <w:lang w:val="en-US" w:eastAsia="fr-FR"/>
              </w:rPr>
              <w:fldChar w:fldCharType="end"/>
            </w:r>
          </w:p>
        </w:tc>
        <w:tc>
          <w:tcPr>
            <w:tcW w:w="266" w:type="pct"/>
            <w:tcBorders>
              <w:top w:val="nil"/>
              <w:left w:val="nil"/>
              <w:bottom w:val="single" w:sz="4" w:space="0" w:color="auto"/>
              <w:right w:val="single" w:sz="4" w:space="0" w:color="auto"/>
            </w:tcBorders>
            <w:shd w:val="clear" w:color="auto" w:fill="auto"/>
            <w:vAlign w:val="center"/>
          </w:tcPr>
          <w:p w14:paraId="4DAA821C" w14:textId="77777777" w:rsidR="00EE4BF0" w:rsidRPr="00E85D55" w:rsidRDefault="00EE4BF0" w:rsidP="007D1DAE">
            <w:pPr>
              <w:spacing w:after="0"/>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efCcZq3O","properties":{"formattedCitation":"[26]","plainCitation":"[26]","noteIndex":0},"citationItems":[{"id":"Tlgz5ME1/rEvRhjP6","uris":["http://zotero.org/groups/2323309/items/2UZ657EB"],"uri":["http://zotero.org/groups/2323309/items/2UZ657EB"],"itemData":{"id":"Tlgz5ME1/rEvRhjP6","type":"article-journal","abstract":"The growth in the numbers of older adults needing long-term care has resulted in rising costs which have forced the Dutch government to change its long-term care system. Now, the local authorities have greater responsibility for supporting older adults and in prolonging independent living with increased support provided by the social network. However, it is unclear whether these older adults have such a network to rely upon. The objective of this study was to gain insight into the providers of formal and informal care to older adults, and to assess possible differences between older adults who are frail and those who are not. In addition, we investigated their care and support needs. We used data from a quantitative survey using a cross-sectional design in different regions of the Netherlands from July until September 2014 (n=181). Frailty was measured using the Tilburg Frailty indicator. To analyse the data chi-square tests, crosstabs and odds ratios were used for dichotomous data and the Mann-Whitney U-Test for nominal data. The number of formal care providers involved was significantly higher (median=2) for those deemed frail than for those not deemed frail (median=1), U=2,130, p&lt;.005. However, more than one-third of the respondents deemed frail did not get the care or support they needed (33.7%). There was a significant positive association between being frail and having an informal care provider ((2)=18.78, df=1, p&lt;.005). However, more than one-third of those deemed frail did not have an informal care provider (36.8%). One-third of older adults deemed to be frail did not have their needs sufficiently addressed by their care network. For a substantial part of this group of older adults, the informal network seems to be unable to support them sufficiently. Additional attention for their needs and wishes is required to implement the policy reforms successfully.","container-title":"Health &amp; Social Care in the Community","DOI":"10.1111/hsc.12539","ISSN":"0966-0410","issue":"3","page":"e404-e414","title":"Care and support for older adults in The Netherlands living independently","volume":"26","author":[{"family":"Verver","given":"Didi"},{"family":"Merten","given":"Hanneke"},{"family":"Robben","given":"Paul"},{"family":"Wagner","given":"Cordula"}],"issued":{"date-parts":[["2018",5]]}}}],"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[26]</w:t>
            </w:r>
            <w:r>
              <w:rPr>
                <w:rFonts w:ascii="Times New Roman" w:eastAsia="Times New Roman" w:hAnsi="Times New Roman"/>
                <w:color w:val="000000"/>
                <w:sz w:val="18"/>
                <w:szCs w:val="20"/>
                <w:lang w:val="en-US" w:eastAsia="fr-FR"/>
              </w:rPr>
              <w:fldChar w:fldCharType="end"/>
            </w:r>
          </w:p>
        </w:tc>
        <w:tc>
          <w:tcPr>
            <w:tcW w:w="264" w:type="pct"/>
            <w:tcBorders>
              <w:top w:val="nil"/>
              <w:left w:val="nil"/>
              <w:bottom w:val="single" w:sz="4" w:space="0" w:color="auto"/>
              <w:right w:val="single" w:sz="4" w:space="0" w:color="auto"/>
            </w:tcBorders>
          </w:tcPr>
          <w:p w14:paraId="214E3800" w14:textId="77777777" w:rsidR="00EE4BF0" w:rsidRPr="00E85D55" w:rsidRDefault="00EE4BF0" w:rsidP="007D1DAE">
            <w:pPr>
              <w:spacing w:after="0"/>
              <w:jc w:val="center"/>
              <w:rPr>
                <w:rFonts w:ascii="Times New Roman" w:eastAsia="Times New Roman" w:hAnsi="Times New Roman"/>
                <w:color w:val="000000"/>
                <w:sz w:val="18"/>
                <w:szCs w:val="20"/>
                <w:lang w:val="en-US" w:eastAsia="fr-FR"/>
              </w:rPr>
            </w:pPr>
          </w:p>
        </w:tc>
      </w:tr>
      <w:tr w:rsidR="00EE4BF0" w:rsidRPr="008C0A90" w14:paraId="3824441C" w14:textId="77777777" w:rsidTr="007D1DAE">
        <w:trPr>
          <w:trHeight w:val="827"/>
        </w:trPr>
        <w:tc>
          <w:tcPr>
            <w:tcW w:w="107" w:type="pct"/>
            <w:tcBorders>
              <w:top w:val="nil"/>
              <w:left w:val="single" w:sz="4" w:space="0" w:color="auto"/>
              <w:bottom w:val="single" w:sz="4" w:space="0" w:color="auto"/>
              <w:right w:val="single" w:sz="4" w:space="0" w:color="auto"/>
            </w:tcBorders>
            <w:shd w:val="clear" w:color="000000" w:fill="F2F2F2"/>
            <w:noWrap/>
            <w:vAlign w:val="center"/>
            <w:hideMark/>
          </w:tcPr>
          <w:p w14:paraId="03C762AE"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 </w:t>
            </w:r>
          </w:p>
        </w:tc>
        <w:tc>
          <w:tcPr>
            <w:tcW w:w="883" w:type="pct"/>
            <w:tcBorders>
              <w:top w:val="nil"/>
              <w:left w:val="nil"/>
              <w:bottom w:val="single" w:sz="4" w:space="0" w:color="auto"/>
              <w:right w:val="single" w:sz="4" w:space="0" w:color="auto"/>
            </w:tcBorders>
            <w:shd w:val="clear" w:color="000000" w:fill="F2F2F2"/>
            <w:noWrap/>
            <w:vAlign w:val="center"/>
            <w:hideMark/>
          </w:tcPr>
          <w:p w14:paraId="13215BBF"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Design</w:t>
            </w:r>
          </w:p>
        </w:tc>
        <w:tc>
          <w:tcPr>
            <w:tcW w:w="183" w:type="pct"/>
            <w:tcBorders>
              <w:top w:val="nil"/>
              <w:left w:val="nil"/>
              <w:bottom w:val="single" w:sz="4" w:space="0" w:color="auto"/>
              <w:right w:val="single" w:sz="4" w:space="0" w:color="auto"/>
            </w:tcBorders>
            <w:shd w:val="clear" w:color="000000" w:fill="F2F2F2"/>
            <w:vAlign w:val="center"/>
            <w:hideMark/>
          </w:tcPr>
          <w:p w14:paraId="01C95A2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195" w:type="pct"/>
            <w:tcBorders>
              <w:top w:val="nil"/>
              <w:left w:val="nil"/>
              <w:bottom w:val="single" w:sz="4" w:space="0" w:color="auto"/>
              <w:right w:val="single" w:sz="4" w:space="0" w:color="auto"/>
            </w:tcBorders>
            <w:shd w:val="clear" w:color="000000" w:fill="F2F2F2"/>
            <w:vAlign w:val="center"/>
            <w:hideMark/>
          </w:tcPr>
          <w:p w14:paraId="24941A4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195" w:type="pct"/>
            <w:tcBorders>
              <w:top w:val="nil"/>
              <w:left w:val="nil"/>
              <w:bottom w:val="single" w:sz="4" w:space="0" w:color="auto"/>
              <w:right w:val="single" w:sz="4" w:space="0" w:color="auto"/>
            </w:tcBorders>
            <w:shd w:val="clear" w:color="000000" w:fill="F2F2F2"/>
            <w:vAlign w:val="center"/>
            <w:hideMark/>
          </w:tcPr>
          <w:p w14:paraId="60C0F1A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229" w:type="pct"/>
            <w:tcBorders>
              <w:top w:val="nil"/>
              <w:left w:val="nil"/>
              <w:bottom w:val="single" w:sz="4" w:space="0" w:color="auto"/>
              <w:right w:val="single" w:sz="4" w:space="0" w:color="auto"/>
            </w:tcBorders>
            <w:shd w:val="clear" w:color="000000" w:fill="F2F2F2"/>
            <w:vAlign w:val="center"/>
            <w:hideMark/>
          </w:tcPr>
          <w:p w14:paraId="65039F0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176" w:type="pct"/>
            <w:tcBorders>
              <w:top w:val="nil"/>
              <w:left w:val="nil"/>
              <w:bottom w:val="single" w:sz="4" w:space="0" w:color="auto"/>
              <w:right w:val="single" w:sz="4" w:space="0" w:color="auto"/>
            </w:tcBorders>
            <w:shd w:val="clear" w:color="000000" w:fill="F2F2F2"/>
            <w:vAlign w:val="center"/>
            <w:hideMark/>
          </w:tcPr>
          <w:p w14:paraId="56F8F06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193" w:type="pct"/>
            <w:tcBorders>
              <w:top w:val="nil"/>
              <w:left w:val="nil"/>
              <w:bottom w:val="single" w:sz="4" w:space="0" w:color="auto"/>
              <w:right w:val="single" w:sz="4" w:space="0" w:color="auto"/>
            </w:tcBorders>
            <w:shd w:val="clear" w:color="000000" w:fill="F2F2F2"/>
            <w:vAlign w:val="center"/>
            <w:hideMark/>
          </w:tcPr>
          <w:p w14:paraId="272BEBA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176" w:type="pct"/>
            <w:tcBorders>
              <w:top w:val="nil"/>
              <w:left w:val="nil"/>
              <w:bottom w:val="single" w:sz="4" w:space="0" w:color="auto"/>
              <w:right w:val="single" w:sz="4" w:space="0" w:color="auto"/>
            </w:tcBorders>
            <w:shd w:val="clear" w:color="000000" w:fill="F2F2F2"/>
            <w:vAlign w:val="center"/>
            <w:hideMark/>
          </w:tcPr>
          <w:p w14:paraId="5AFD052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176" w:type="pct"/>
            <w:tcBorders>
              <w:top w:val="nil"/>
              <w:left w:val="nil"/>
              <w:bottom w:val="single" w:sz="4" w:space="0" w:color="auto"/>
              <w:right w:val="single" w:sz="4" w:space="0" w:color="auto"/>
            </w:tcBorders>
            <w:shd w:val="clear" w:color="000000" w:fill="F2F2F2"/>
            <w:vAlign w:val="center"/>
            <w:hideMark/>
          </w:tcPr>
          <w:p w14:paraId="37BC1AB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197" w:type="pct"/>
            <w:tcBorders>
              <w:top w:val="nil"/>
              <w:left w:val="nil"/>
              <w:bottom w:val="single" w:sz="4" w:space="0" w:color="auto"/>
              <w:right w:val="single" w:sz="4" w:space="0" w:color="auto"/>
            </w:tcBorders>
            <w:shd w:val="clear" w:color="000000" w:fill="F2F2F2"/>
            <w:vAlign w:val="center"/>
            <w:hideMark/>
          </w:tcPr>
          <w:p w14:paraId="465A8F8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232" w:type="pct"/>
            <w:tcBorders>
              <w:top w:val="nil"/>
              <w:left w:val="nil"/>
              <w:bottom w:val="single" w:sz="4" w:space="0" w:color="auto"/>
              <w:right w:val="single" w:sz="4" w:space="0" w:color="auto"/>
            </w:tcBorders>
            <w:shd w:val="clear" w:color="000000" w:fill="F2F2F2"/>
            <w:vAlign w:val="center"/>
            <w:hideMark/>
          </w:tcPr>
          <w:p w14:paraId="1B40800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230" w:type="pct"/>
            <w:tcBorders>
              <w:top w:val="nil"/>
              <w:left w:val="nil"/>
              <w:bottom w:val="single" w:sz="4" w:space="0" w:color="auto"/>
              <w:right w:val="single" w:sz="4" w:space="0" w:color="auto"/>
            </w:tcBorders>
            <w:shd w:val="clear" w:color="000000" w:fill="F2F2F2"/>
            <w:vAlign w:val="center"/>
            <w:hideMark/>
          </w:tcPr>
          <w:p w14:paraId="147CC53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267" w:type="pct"/>
            <w:tcBorders>
              <w:top w:val="nil"/>
              <w:left w:val="nil"/>
              <w:bottom w:val="single" w:sz="4" w:space="0" w:color="auto"/>
              <w:right w:val="single" w:sz="4" w:space="0" w:color="auto"/>
            </w:tcBorders>
            <w:shd w:val="clear" w:color="000000" w:fill="F2F2F2"/>
            <w:vAlign w:val="center"/>
            <w:hideMark/>
          </w:tcPr>
          <w:p w14:paraId="11A7AB8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267" w:type="pct"/>
            <w:tcBorders>
              <w:top w:val="nil"/>
              <w:left w:val="nil"/>
              <w:bottom w:val="single" w:sz="4" w:space="0" w:color="auto"/>
              <w:right w:val="single" w:sz="4" w:space="0" w:color="auto"/>
            </w:tcBorders>
            <w:shd w:val="clear" w:color="000000" w:fill="F2F2F2"/>
            <w:vAlign w:val="center"/>
            <w:hideMark/>
          </w:tcPr>
          <w:p w14:paraId="686CF36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334" w:type="pct"/>
            <w:tcBorders>
              <w:top w:val="nil"/>
              <w:left w:val="nil"/>
              <w:bottom w:val="single" w:sz="4" w:space="0" w:color="auto"/>
              <w:right w:val="single" w:sz="4" w:space="0" w:color="auto"/>
            </w:tcBorders>
            <w:shd w:val="clear" w:color="000000" w:fill="F2F2F2"/>
            <w:vAlign w:val="center"/>
            <w:hideMark/>
          </w:tcPr>
          <w:p w14:paraId="36C26C3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198" w:type="pct"/>
            <w:tcBorders>
              <w:top w:val="nil"/>
              <w:left w:val="nil"/>
              <w:bottom w:val="single" w:sz="4" w:space="0" w:color="auto"/>
              <w:right w:val="single" w:sz="4" w:space="0" w:color="auto"/>
            </w:tcBorders>
            <w:shd w:val="clear" w:color="000000" w:fill="F2F2F2"/>
            <w:vAlign w:val="center"/>
            <w:hideMark/>
          </w:tcPr>
          <w:p w14:paraId="5BBE63D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232" w:type="pct"/>
            <w:tcBorders>
              <w:top w:val="nil"/>
              <w:left w:val="nil"/>
              <w:bottom w:val="single" w:sz="4" w:space="0" w:color="auto"/>
              <w:right w:val="single" w:sz="4" w:space="0" w:color="auto"/>
            </w:tcBorders>
            <w:shd w:val="clear" w:color="000000" w:fill="F2F2F2"/>
            <w:vAlign w:val="center"/>
            <w:hideMark/>
          </w:tcPr>
          <w:p w14:paraId="3209954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266" w:type="pct"/>
            <w:tcBorders>
              <w:top w:val="nil"/>
              <w:left w:val="nil"/>
              <w:bottom w:val="single" w:sz="4" w:space="0" w:color="auto"/>
              <w:right w:val="single" w:sz="4" w:space="0" w:color="auto"/>
            </w:tcBorders>
            <w:shd w:val="clear" w:color="000000" w:fill="F2F2F2"/>
            <w:vAlign w:val="center"/>
            <w:hideMark/>
          </w:tcPr>
          <w:p w14:paraId="34B0EB5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264" w:type="pct"/>
            <w:tcBorders>
              <w:top w:val="nil"/>
              <w:left w:val="nil"/>
              <w:bottom w:val="single" w:sz="4" w:space="0" w:color="auto"/>
              <w:right w:val="single" w:sz="4" w:space="0" w:color="auto"/>
            </w:tcBorders>
            <w:shd w:val="clear" w:color="000000" w:fill="F2F2F2"/>
          </w:tcPr>
          <w:p w14:paraId="0241FA1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p>
        </w:tc>
      </w:tr>
      <w:tr w:rsidR="00EE4BF0" w:rsidRPr="008C0A90" w14:paraId="078A23E3" w14:textId="77777777" w:rsidTr="007D1DAE">
        <w:trPr>
          <w:trHeight w:val="270"/>
        </w:trPr>
        <w:tc>
          <w:tcPr>
            <w:tcW w:w="107" w:type="pct"/>
            <w:tcBorders>
              <w:top w:val="nil"/>
              <w:left w:val="single" w:sz="4" w:space="0" w:color="auto"/>
              <w:bottom w:val="single" w:sz="4" w:space="0" w:color="auto"/>
              <w:right w:val="single" w:sz="4" w:space="0" w:color="auto"/>
            </w:tcBorders>
            <w:shd w:val="clear" w:color="000000" w:fill="F2F2F2"/>
            <w:noWrap/>
            <w:vAlign w:val="center"/>
            <w:hideMark/>
          </w:tcPr>
          <w:p w14:paraId="6255B46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 </w:t>
            </w:r>
          </w:p>
        </w:tc>
        <w:tc>
          <w:tcPr>
            <w:tcW w:w="883" w:type="pct"/>
            <w:tcBorders>
              <w:top w:val="nil"/>
              <w:left w:val="nil"/>
              <w:bottom w:val="single" w:sz="4" w:space="0" w:color="auto"/>
              <w:right w:val="single" w:sz="4" w:space="0" w:color="auto"/>
            </w:tcBorders>
            <w:shd w:val="clear" w:color="000000" w:fill="F2F2F2"/>
            <w:noWrap/>
            <w:vAlign w:val="center"/>
            <w:hideMark/>
          </w:tcPr>
          <w:p w14:paraId="0CF68FD0"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vertAlign w:val="superscript"/>
                <w:lang w:val="en-US" w:eastAsia="fr-FR"/>
              </w:rPr>
            </w:pPr>
            <w:r w:rsidRPr="00E85D55">
              <w:rPr>
                <w:rFonts w:ascii="Times New Roman" w:eastAsia="Times New Roman" w:hAnsi="Times New Roman"/>
                <w:b/>
                <w:bCs/>
                <w:color w:val="000000"/>
                <w:sz w:val="20"/>
                <w:szCs w:val="20"/>
                <w:lang w:val="en-US" w:eastAsia="fr-FR"/>
              </w:rPr>
              <w:t>Subscale score (0 to 6)</w:t>
            </w:r>
            <w:r w:rsidRPr="00E85D55">
              <w:rPr>
                <w:rFonts w:ascii="Times New Roman" w:eastAsia="Times New Roman" w:hAnsi="Times New Roman"/>
                <w:b/>
                <w:bCs/>
                <w:color w:val="000000"/>
                <w:sz w:val="20"/>
                <w:szCs w:val="20"/>
                <w:vertAlign w:val="superscript"/>
                <w:lang w:val="en-US" w:eastAsia="fr-FR"/>
              </w:rPr>
              <w:t>a</w:t>
            </w:r>
          </w:p>
        </w:tc>
        <w:tc>
          <w:tcPr>
            <w:tcW w:w="183" w:type="pct"/>
            <w:tcBorders>
              <w:top w:val="nil"/>
              <w:left w:val="nil"/>
              <w:bottom w:val="single" w:sz="4" w:space="0" w:color="auto"/>
              <w:right w:val="single" w:sz="4" w:space="0" w:color="auto"/>
            </w:tcBorders>
            <w:shd w:val="clear" w:color="000000" w:fill="F2F2F2"/>
            <w:noWrap/>
            <w:vAlign w:val="center"/>
            <w:hideMark/>
          </w:tcPr>
          <w:p w14:paraId="69F7E179"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5</w:t>
            </w:r>
          </w:p>
        </w:tc>
        <w:tc>
          <w:tcPr>
            <w:tcW w:w="195" w:type="pct"/>
            <w:tcBorders>
              <w:top w:val="nil"/>
              <w:left w:val="nil"/>
              <w:bottom w:val="single" w:sz="4" w:space="0" w:color="auto"/>
              <w:right w:val="single" w:sz="4" w:space="0" w:color="auto"/>
            </w:tcBorders>
            <w:shd w:val="clear" w:color="000000" w:fill="F2F2F2"/>
            <w:noWrap/>
            <w:vAlign w:val="center"/>
            <w:hideMark/>
          </w:tcPr>
          <w:p w14:paraId="6591C0A9"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4</w:t>
            </w:r>
          </w:p>
        </w:tc>
        <w:tc>
          <w:tcPr>
            <w:tcW w:w="195" w:type="pct"/>
            <w:tcBorders>
              <w:top w:val="nil"/>
              <w:left w:val="nil"/>
              <w:bottom w:val="single" w:sz="4" w:space="0" w:color="auto"/>
              <w:right w:val="single" w:sz="4" w:space="0" w:color="auto"/>
            </w:tcBorders>
            <w:shd w:val="clear" w:color="000000" w:fill="F2F2F2"/>
            <w:noWrap/>
            <w:vAlign w:val="center"/>
            <w:hideMark/>
          </w:tcPr>
          <w:p w14:paraId="23990E34"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4</w:t>
            </w:r>
          </w:p>
        </w:tc>
        <w:tc>
          <w:tcPr>
            <w:tcW w:w="229" w:type="pct"/>
            <w:tcBorders>
              <w:top w:val="nil"/>
              <w:left w:val="nil"/>
              <w:bottom w:val="single" w:sz="4" w:space="0" w:color="auto"/>
              <w:right w:val="single" w:sz="4" w:space="0" w:color="auto"/>
            </w:tcBorders>
            <w:shd w:val="clear" w:color="000000" w:fill="F2F2F2"/>
            <w:noWrap/>
            <w:vAlign w:val="center"/>
            <w:hideMark/>
          </w:tcPr>
          <w:p w14:paraId="41C2AF91"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4</w:t>
            </w:r>
          </w:p>
        </w:tc>
        <w:tc>
          <w:tcPr>
            <w:tcW w:w="176" w:type="pct"/>
            <w:tcBorders>
              <w:top w:val="nil"/>
              <w:left w:val="nil"/>
              <w:bottom w:val="single" w:sz="4" w:space="0" w:color="auto"/>
              <w:right w:val="single" w:sz="4" w:space="0" w:color="auto"/>
            </w:tcBorders>
            <w:shd w:val="clear" w:color="000000" w:fill="F2F2F2"/>
            <w:noWrap/>
            <w:vAlign w:val="center"/>
            <w:hideMark/>
          </w:tcPr>
          <w:p w14:paraId="64D61CE0"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4</w:t>
            </w:r>
          </w:p>
        </w:tc>
        <w:tc>
          <w:tcPr>
            <w:tcW w:w="193" w:type="pct"/>
            <w:tcBorders>
              <w:top w:val="nil"/>
              <w:left w:val="nil"/>
              <w:bottom w:val="single" w:sz="4" w:space="0" w:color="auto"/>
              <w:right w:val="single" w:sz="4" w:space="0" w:color="auto"/>
            </w:tcBorders>
            <w:shd w:val="clear" w:color="000000" w:fill="F2F2F2"/>
            <w:noWrap/>
            <w:vAlign w:val="center"/>
            <w:hideMark/>
          </w:tcPr>
          <w:p w14:paraId="051E96FE"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5</w:t>
            </w:r>
          </w:p>
        </w:tc>
        <w:tc>
          <w:tcPr>
            <w:tcW w:w="176" w:type="pct"/>
            <w:tcBorders>
              <w:top w:val="nil"/>
              <w:left w:val="nil"/>
              <w:bottom w:val="single" w:sz="4" w:space="0" w:color="auto"/>
              <w:right w:val="single" w:sz="4" w:space="0" w:color="auto"/>
            </w:tcBorders>
            <w:shd w:val="clear" w:color="000000" w:fill="F2F2F2"/>
            <w:noWrap/>
            <w:vAlign w:val="center"/>
            <w:hideMark/>
          </w:tcPr>
          <w:p w14:paraId="01934B0B"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4</w:t>
            </w:r>
          </w:p>
        </w:tc>
        <w:tc>
          <w:tcPr>
            <w:tcW w:w="176" w:type="pct"/>
            <w:tcBorders>
              <w:top w:val="nil"/>
              <w:left w:val="nil"/>
              <w:bottom w:val="single" w:sz="4" w:space="0" w:color="auto"/>
              <w:right w:val="single" w:sz="4" w:space="0" w:color="auto"/>
            </w:tcBorders>
            <w:shd w:val="clear" w:color="000000" w:fill="F2F2F2"/>
            <w:noWrap/>
            <w:vAlign w:val="center"/>
            <w:hideMark/>
          </w:tcPr>
          <w:p w14:paraId="0AB2A464"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5</w:t>
            </w:r>
          </w:p>
        </w:tc>
        <w:tc>
          <w:tcPr>
            <w:tcW w:w="197" w:type="pct"/>
            <w:tcBorders>
              <w:top w:val="nil"/>
              <w:left w:val="nil"/>
              <w:bottom w:val="single" w:sz="4" w:space="0" w:color="auto"/>
              <w:right w:val="single" w:sz="4" w:space="0" w:color="auto"/>
            </w:tcBorders>
            <w:shd w:val="clear" w:color="000000" w:fill="F2F2F2"/>
            <w:noWrap/>
            <w:vAlign w:val="center"/>
            <w:hideMark/>
          </w:tcPr>
          <w:p w14:paraId="02593712"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5</w:t>
            </w:r>
          </w:p>
        </w:tc>
        <w:tc>
          <w:tcPr>
            <w:tcW w:w="232" w:type="pct"/>
            <w:tcBorders>
              <w:top w:val="nil"/>
              <w:left w:val="nil"/>
              <w:bottom w:val="single" w:sz="4" w:space="0" w:color="auto"/>
              <w:right w:val="single" w:sz="4" w:space="0" w:color="auto"/>
            </w:tcBorders>
            <w:shd w:val="clear" w:color="000000" w:fill="F2F2F2"/>
            <w:noWrap/>
            <w:vAlign w:val="center"/>
            <w:hideMark/>
          </w:tcPr>
          <w:p w14:paraId="33A268FF"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5</w:t>
            </w:r>
          </w:p>
        </w:tc>
        <w:tc>
          <w:tcPr>
            <w:tcW w:w="230" w:type="pct"/>
            <w:tcBorders>
              <w:top w:val="nil"/>
              <w:left w:val="nil"/>
              <w:bottom w:val="single" w:sz="4" w:space="0" w:color="auto"/>
              <w:right w:val="single" w:sz="4" w:space="0" w:color="auto"/>
            </w:tcBorders>
            <w:shd w:val="clear" w:color="000000" w:fill="F2F2F2"/>
            <w:noWrap/>
            <w:vAlign w:val="center"/>
            <w:hideMark/>
          </w:tcPr>
          <w:p w14:paraId="78A2CA5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5</w:t>
            </w:r>
          </w:p>
        </w:tc>
        <w:tc>
          <w:tcPr>
            <w:tcW w:w="267" w:type="pct"/>
            <w:tcBorders>
              <w:top w:val="nil"/>
              <w:left w:val="nil"/>
              <w:bottom w:val="single" w:sz="4" w:space="0" w:color="auto"/>
              <w:right w:val="single" w:sz="4" w:space="0" w:color="auto"/>
            </w:tcBorders>
            <w:shd w:val="clear" w:color="000000" w:fill="F2F2F2"/>
            <w:noWrap/>
            <w:vAlign w:val="center"/>
            <w:hideMark/>
          </w:tcPr>
          <w:p w14:paraId="1839D160"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5</w:t>
            </w:r>
          </w:p>
        </w:tc>
        <w:tc>
          <w:tcPr>
            <w:tcW w:w="267" w:type="pct"/>
            <w:tcBorders>
              <w:top w:val="nil"/>
              <w:left w:val="nil"/>
              <w:bottom w:val="single" w:sz="4" w:space="0" w:color="auto"/>
              <w:right w:val="single" w:sz="4" w:space="0" w:color="auto"/>
            </w:tcBorders>
            <w:shd w:val="clear" w:color="000000" w:fill="F2F2F2"/>
            <w:noWrap/>
            <w:vAlign w:val="center"/>
            <w:hideMark/>
          </w:tcPr>
          <w:p w14:paraId="7D2216AE"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4</w:t>
            </w:r>
          </w:p>
        </w:tc>
        <w:tc>
          <w:tcPr>
            <w:tcW w:w="334" w:type="pct"/>
            <w:tcBorders>
              <w:top w:val="nil"/>
              <w:left w:val="nil"/>
              <w:bottom w:val="single" w:sz="4" w:space="0" w:color="auto"/>
              <w:right w:val="single" w:sz="4" w:space="0" w:color="auto"/>
            </w:tcBorders>
            <w:shd w:val="clear" w:color="000000" w:fill="F2F2F2"/>
            <w:noWrap/>
            <w:vAlign w:val="center"/>
            <w:hideMark/>
          </w:tcPr>
          <w:p w14:paraId="1FCD0401"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4</w:t>
            </w:r>
          </w:p>
        </w:tc>
        <w:tc>
          <w:tcPr>
            <w:tcW w:w="198" w:type="pct"/>
            <w:tcBorders>
              <w:top w:val="nil"/>
              <w:left w:val="nil"/>
              <w:bottom w:val="single" w:sz="4" w:space="0" w:color="auto"/>
              <w:right w:val="single" w:sz="4" w:space="0" w:color="auto"/>
            </w:tcBorders>
            <w:shd w:val="clear" w:color="000000" w:fill="F2F2F2"/>
            <w:noWrap/>
            <w:vAlign w:val="center"/>
            <w:hideMark/>
          </w:tcPr>
          <w:p w14:paraId="171F5855" w14:textId="77777777" w:rsidR="00EE4BF0" w:rsidRPr="008C0A90"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8C0A90">
              <w:rPr>
                <w:rFonts w:ascii="Times New Roman" w:eastAsia="Times New Roman" w:hAnsi="Times New Roman"/>
                <w:b/>
                <w:bCs/>
                <w:color w:val="000000"/>
                <w:sz w:val="20"/>
                <w:szCs w:val="20"/>
                <w:lang w:val="en-US" w:eastAsia="fr-FR"/>
              </w:rPr>
              <w:t>5</w:t>
            </w:r>
          </w:p>
        </w:tc>
        <w:tc>
          <w:tcPr>
            <w:tcW w:w="232" w:type="pct"/>
            <w:tcBorders>
              <w:top w:val="nil"/>
              <w:left w:val="nil"/>
              <w:bottom w:val="single" w:sz="4" w:space="0" w:color="auto"/>
              <w:right w:val="single" w:sz="4" w:space="0" w:color="auto"/>
            </w:tcBorders>
            <w:shd w:val="clear" w:color="000000" w:fill="F2F2F2"/>
            <w:noWrap/>
            <w:vAlign w:val="center"/>
            <w:hideMark/>
          </w:tcPr>
          <w:p w14:paraId="288C70AC" w14:textId="77777777" w:rsidR="00EE4BF0" w:rsidRPr="008C0A90"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8C0A90">
              <w:rPr>
                <w:rFonts w:ascii="Times New Roman" w:eastAsia="Times New Roman" w:hAnsi="Times New Roman"/>
                <w:b/>
                <w:bCs/>
                <w:color w:val="000000"/>
                <w:sz w:val="20"/>
                <w:szCs w:val="20"/>
                <w:lang w:val="en-US" w:eastAsia="fr-FR"/>
              </w:rPr>
              <w:t>5</w:t>
            </w:r>
          </w:p>
        </w:tc>
        <w:tc>
          <w:tcPr>
            <w:tcW w:w="266" w:type="pct"/>
            <w:tcBorders>
              <w:top w:val="nil"/>
              <w:left w:val="nil"/>
              <w:bottom w:val="single" w:sz="4" w:space="0" w:color="auto"/>
              <w:right w:val="single" w:sz="4" w:space="0" w:color="auto"/>
            </w:tcBorders>
            <w:shd w:val="clear" w:color="000000" w:fill="F2F2F2"/>
            <w:noWrap/>
            <w:vAlign w:val="center"/>
            <w:hideMark/>
          </w:tcPr>
          <w:p w14:paraId="2ECB4E60" w14:textId="77777777" w:rsidR="00EE4BF0" w:rsidRPr="008C0A90"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8C0A90">
              <w:rPr>
                <w:rFonts w:ascii="Times New Roman" w:eastAsia="Times New Roman" w:hAnsi="Times New Roman"/>
                <w:b/>
                <w:bCs/>
                <w:color w:val="000000"/>
                <w:sz w:val="20"/>
                <w:szCs w:val="20"/>
                <w:lang w:val="en-US" w:eastAsia="fr-FR"/>
              </w:rPr>
              <w:t>5</w:t>
            </w:r>
          </w:p>
        </w:tc>
        <w:tc>
          <w:tcPr>
            <w:tcW w:w="264" w:type="pct"/>
            <w:tcBorders>
              <w:top w:val="nil"/>
              <w:left w:val="nil"/>
              <w:bottom w:val="single" w:sz="4" w:space="0" w:color="auto"/>
              <w:right w:val="single" w:sz="4" w:space="0" w:color="auto"/>
            </w:tcBorders>
            <w:shd w:val="clear" w:color="000000" w:fill="F2F2F2"/>
          </w:tcPr>
          <w:p w14:paraId="488A9530" w14:textId="77777777" w:rsidR="00EE4BF0" w:rsidRPr="008C0A90"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8C0A90">
              <w:rPr>
                <w:rFonts w:ascii="Times New Roman" w:eastAsia="Times New Roman" w:hAnsi="Times New Roman"/>
                <w:b/>
                <w:bCs/>
                <w:color w:val="000000"/>
                <w:sz w:val="20"/>
                <w:szCs w:val="20"/>
                <w:lang w:val="en-US" w:eastAsia="fr-FR"/>
              </w:rPr>
              <w:t>Average score : 4,6</w:t>
            </w:r>
          </w:p>
        </w:tc>
      </w:tr>
      <w:tr w:rsidR="00EE4BF0" w:rsidRPr="008C0A90" w14:paraId="7C0464D2" w14:textId="77777777" w:rsidTr="007D1DAE">
        <w:trPr>
          <w:trHeight w:val="540"/>
        </w:trPr>
        <w:tc>
          <w:tcPr>
            <w:tcW w:w="107" w:type="pct"/>
            <w:tcBorders>
              <w:top w:val="nil"/>
              <w:left w:val="single" w:sz="4" w:space="0" w:color="auto"/>
              <w:bottom w:val="single" w:sz="4" w:space="0" w:color="auto"/>
              <w:right w:val="single" w:sz="4" w:space="0" w:color="auto"/>
            </w:tcBorders>
            <w:shd w:val="clear" w:color="000000" w:fill="FFFFFF"/>
            <w:noWrap/>
            <w:vAlign w:val="center"/>
            <w:hideMark/>
          </w:tcPr>
          <w:p w14:paraId="598F7FF3"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883" w:type="pct"/>
            <w:tcBorders>
              <w:top w:val="nil"/>
              <w:left w:val="nil"/>
              <w:bottom w:val="single" w:sz="4" w:space="0" w:color="auto"/>
              <w:right w:val="single" w:sz="4" w:space="0" w:color="auto"/>
            </w:tcBorders>
            <w:shd w:val="clear" w:color="000000" w:fill="FFFFFF"/>
            <w:vAlign w:val="center"/>
            <w:hideMark/>
          </w:tcPr>
          <w:p w14:paraId="712C67D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Were the study hypotheses or goals prespecified a priori?</w:t>
            </w:r>
          </w:p>
        </w:tc>
        <w:tc>
          <w:tcPr>
            <w:tcW w:w="183" w:type="pct"/>
            <w:tcBorders>
              <w:top w:val="nil"/>
              <w:left w:val="nil"/>
              <w:bottom w:val="single" w:sz="4" w:space="0" w:color="auto"/>
              <w:right w:val="single" w:sz="4" w:space="0" w:color="auto"/>
            </w:tcBorders>
            <w:shd w:val="clear" w:color="000000" w:fill="FFFFFF"/>
            <w:noWrap/>
            <w:vAlign w:val="center"/>
            <w:hideMark/>
          </w:tcPr>
          <w:p w14:paraId="4F997A47"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5" w:type="pct"/>
            <w:tcBorders>
              <w:top w:val="nil"/>
              <w:left w:val="nil"/>
              <w:bottom w:val="single" w:sz="4" w:space="0" w:color="auto"/>
              <w:right w:val="single" w:sz="4" w:space="0" w:color="auto"/>
            </w:tcBorders>
            <w:shd w:val="clear" w:color="000000" w:fill="FFFFFF"/>
            <w:noWrap/>
            <w:vAlign w:val="center"/>
            <w:hideMark/>
          </w:tcPr>
          <w:p w14:paraId="4DF4CC5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5" w:type="pct"/>
            <w:tcBorders>
              <w:top w:val="nil"/>
              <w:left w:val="nil"/>
              <w:bottom w:val="single" w:sz="4" w:space="0" w:color="auto"/>
              <w:right w:val="single" w:sz="4" w:space="0" w:color="auto"/>
            </w:tcBorders>
            <w:shd w:val="clear" w:color="000000" w:fill="FFFFFF"/>
            <w:noWrap/>
            <w:vAlign w:val="center"/>
            <w:hideMark/>
          </w:tcPr>
          <w:p w14:paraId="434FD137"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6819F9E1"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76" w:type="pct"/>
            <w:tcBorders>
              <w:top w:val="nil"/>
              <w:left w:val="nil"/>
              <w:bottom w:val="single" w:sz="4" w:space="0" w:color="auto"/>
              <w:right w:val="single" w:sz="4" w:space="0" w:color="auto"/>
            </w:tcBorders>
            <w:shd w:val="clear" w:color="000000" w:fill="FFFFFF"/>
            <w:noWrap/>
            <w:vAlign w:val="center"/>
            <w:hideMark/>
          </w:tcPr>
          <w:p w14:paraId="479410D8"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3" w:type="pct"/>
            <w:tcBorders>
              <w:top w:val="nil"/>
              <w:left w:val="nil"/>
              <w:bottom w:val="single" w:sz="4" w:space="0" w:color="auto"/>
              <w:right w:val="single" w:sz="4" w:space="0" w:color="auto"/>
            </w:tcBorders>
            <w:shd w:val="clear" w:color="000000" w:fill="FFFFFF"/>
            <w:noWrap/>
            <w:vAlign w:val="center"/>
            <w:hideMark/>
          </w:tcPr>
          <w:p w14:paraId="1656FBB9"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76" w:type="pct"/>
            <w:tcBorders>
              <w:top w:val="nil"/>
              <w:left w:val="nil"/>
              <w:bottom w:val="single" w:sz="4" w:space="0" w:color="auto"/>
              <w:right w:val="single" w:sz="4" w:space="0" w:color="auto"/>
            </w:tcBorders>
            <w:shd w:val="clear" w:color="000000" w:fill="FFFFFF"/>
            <w:noWrap/>
            <w:vAlign w:val="center"/>
            <w:hideMark/>
          </w:tcPr>
          <w:p w14:paraId="2203A61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76" w:type="pct"/>
            <w:tcBorders>
              <w:top w:val="nil"/>
              <w:left w:val="nil"/>
              <w:bottom w:val="single" w:sz="4" w:space="0" w:color="auto"/>
              <w:right w:val="single" w:sz="4" w:space="0" w:color="auto"/>
            </w:tcBorders>
            <w:shd w:val="clear" w:color="000000" w:fill="FFFFFF"/>
            <w:noWrap/>
            <w:vAlign w:val="center"/>
            <w:hideMark/>
          </w:tcPr>
          <w:p w14:paraId="0107E84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7" w:type="pct"/>
            <w:tcBorders>
              <w:top w:val="nil"/>
              <w:left w:val="nil"/>
              <w:bottom w:val="single" w:sz="4" w:space="0" w:color="auto"/>
              <w:right w:val="single" w:sz="4" w:space="0" w:color="auto"/>
            </w:tcBorders>
            <w:shd w:val="clear" w:color="000000" w:fill="FFFFFF"/>
            <w:noWrap/>
            <w:vAlign w:val="center"/>
            <w:hideMark/>
          </w:tcPr>
          <w:p w14:paraId="27667B15"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2" w:type="pct"/>
            <w:tcBorders>
              <w:top w:val="nil"/>
              <w:left w:val="nil"/>
              <w:bottom w:val="single" w:sz="4" w:space="0" w:color="auto"/>
              <w:right w:val="single" w:sz="4" w:space="0" w:color="auto"/>
            </w:tcBorders>
            <w:shd w:val="clear" w:color="000000" w:fill="FFFFFF"/>
            <w:noWrap/>
            <w:vAlign w:val="center"/>
            <w:hideMark/>
          </w:tcPr>
          <w:p w14:paraId="218C8A35"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0" w:type="pct"/>
            <w:tcBorders>
              <w:top w:val="nil"/>
              <w:left w:val="nil"/>
              <w:bottom w:val="single" w:sz="4" w:space="0" w:color="auto"/>
              <w:right w:val="single" w:sz="4" w:space="0" w:color="auto"/>
            </w:tcBorders>
            <w:shd w:val="clear" w:color="000000" w:fill="FFFFFF"/>
            <w:noWrap/>
            <w:vAlign w:val="center"/>
            <w:hideMark/>
          </w:tcPr>
          <w:p w14:paraId="279ECD5D"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7" w:type="pct"/>
            <w:tcBorders>
              <w:top w:val="nil"/>
              <w:left w:val="nil"/>
              <w:bottom w:val="single" w:sz="4" w:space="0" w:color="auto"/>
              <w:right w:val="single" w:sz="4" w:space="0" w:color="auto"/>
            </w:tcBorders>
            <w:shd w:val="clear" w:color="000000" w:fill="FFFFFF"/>
            <w:noWrap/>
            <w:vAlign w:val="center"/>
            <w:hideMark/>
          </w:tcPr>
          <w:p w14:paraId="12392A2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7" w:type="pct"/>
            <w:tcBorders>
              <w:top w:val="nil"/>
              <w:left w:val="nil"/>
              <w:bottom w:val="single" w:sz="4" w:space="0" w:color="auto"/>
              <w:right w:val="single" w:sz="4" w:space="0" w:color="auto"/>
            </w:tcBorders>
            <w:shd w:val="clear" w:color="000000" w:fill="FFFFFF"/>
            <w:noWrap/>
            <w:vAlign w:val="center"/>
            <w:hideMark/>
          </w:tcPr>
          <w:p w14:paraId="3613400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334" w:type="pct"/>
            <w:tcBorders>
              <w:top w:val="nil"/>
              <w:left w:val="nil"/>
              <w:bottom w:val="single" w:sz="4" w:space="0" w:color="auto"/>
              <w:right w:val="single" w:sz="4" w:space="0" w:color="auto"/>
            </w:tcBorders>
            <w:shd w:val="clear" w:color="000000" w:fill="FFFFFF"/>
            <w:noWrap/>
            <w:vAlign w:val="center"/>
            <w:hideMark/>
          </w:tcPr>
          <w:p w14:paraId="1B8BEF33"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8" w:type="pct"/>
            <w:tcBorders>
              <w:top w:val="nil"/>
              <w:left w:val="nil"/>
              <w:bottom w:val="single" w:sz="4" w:space="0" w:color="auto"/>
              <w:right w:val="single" w:sz="4" w:space="0" w:color="auto"/>
            </w:tcBorders>
            <w:shd w:val="clear" w:color="000000" w:fill="FFFFFF"/>
            <w:noWrap/>
            <w:vAlign w:val="center"/>
            <w:hideMark/>
          </w:tcPr>
          <w:p w14:paraId="62643E8F"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2" w:type="pct"/>
            <w:tcBorders>
              <w:top w:val="nil"/>
              <w:left w:val="nil"/>
              <w:bottom w:val="single" w:sz="4" w:space="0" w:color="auto"/>
              <w:right w:val="single" w:sz="4" w:space="0" w:color="auto"/>
            </w:tcBorders>
            <w:shd w:val="clear" w:color="000000" w:fill="FFFFFF"/>
            <w:noWrap/>
            <w:vAlign w:val="center"/>
            <w:hideMark/>
          </w:tcPr>
          <w:p w14:paraId="3AC0D548"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12C30320"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4" w:type="pct"/>
            <w:tcBorders>
              <w:top w:val="nil"/>
              <w:left w:val="nil"/>
              <w:bottom w:val="single" w:sz="4" w:space="0" w:color="auto"/>
              <w:right w:val="single" w:sz="4" w:space="0" w:color="auto"/>
            </w:tcBorders>
            <w:shd w:val="clear" w:color="000000" w:fill="FFFFFF"/>
          </w:tcPr>
          <w:p w14:paraId="5E5B9F8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17/17</w:t>
            </w:r>
          </w:p>
        </w:tc>
      </w:tr>
      <w:tr w:rsidR="00EE4BF0" w:rsidRPr="008C0A90" w14:paraId="1458A74B" w14:textId="77777777" w:rsidTr="007D1DAE">
        <w:trPr>
          <w:trHeight w:val="1351"/>
        </w:trPr>
        <w:tc>
          <w:tcPr>
            <w:tcW w:w="107" w:type="pct"/>
            <w:tcBorders>
              <w:top w:val="nil"/>
              <w:left w:val="single" w:sz="4" w:space="0" w:color="auto"/>
              <w:bottom w:val="single" w:sz="4" w:space="0" w:color="auto"/>
              <w:right w:val="single" w:sz="4" w:space="0" w:color="auto"/>
            </w:tcBorders>
            <w:shd w:val="clear" w:color="000000" w:fill="FFFFFF"/>
            <w:noWrap/>
            <w:vAlign w:val="center"/>
            <w:hideMark/>
          </w:tcPr>
          <w:p w14:paraId="4F9CB783"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2</w:t>
            </w:r>
          </w:p>
        </w:tc>
        <w:tc>
          <w:tcPr>
            <w:tcW w:w="883" w:type="pct"/>
            <w:tcBorders>
              <w:top w:val="nil"/>
              <w:left w:val="nil"/>
              <w:bottom w:val="single" w:sz="4" w:space="0" w:color="auto"/>
              <w:right w:val="single" w:sz="4" w:space="0" w:color="auto"/>
            </w:tcBorders>
            <w:shd w:val="clear" w:color="000000" w:fill="FFFFFF"/>
            <w:vAlign w:val="center"/>
            <w:hideMark/>
          </w:tcPr>
          <w:p w14:paraId="4A38F3B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If one or more comparison groups were used, were they concurrent comparators or did they justify the use of historical comparison group(s)?</w:t>
            </w:r>
          </w:p>
        </w:tc>
        <w:tc>
          <w:tcPr>
            <w:tcW w:w="183" w:type="pct"/>
            <w:tcBorders>
              <w:top w:val="nil"/>
              <w:left w:val="nil"/>
              <w:bottom w:val="single" w:sz="4" w:space="0" w:color="auto"/>
              <w:right w:val="single" w:sz="4" w:space="0" w:color="auto"/>
            </w:tcBorders>
            <w:shd w:val="clear" w:color="000000" w:fill="FFFFFF"/>
            <w:noWrap/>
            <w:vAlign w:val="center"/>
            <w:hideMark/>
          </w:tcPr>
          <w:p w14:paraId="05EB304B"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5" w:type="pct"/>
            <w:tcBorders>
              <w:top w:val="nil"/>
              <w:left w:val="nil"/>
              <w:bottom w:val="single" w:sz="4" w:space="0" w:color="auto"/>
              <w:right w:val="single" w:sz="4" w:space="0" w:color="auto"/>
            </w:tcBorders>
            <w:shd w:val="clear" w:color="000000" w:fill="FFFFFF"/>
            <w:noWrap/>
            <w:vAlign w:val="center"/>
            <w:hideMark/>
          </w:tcPr>
          <w:p w14:paraId="2AA85B2E"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5" w:type="pct"/>
            <w:tcBorders>
              <w:top w:val="nil"/>
              <w:left w:val="nil"/>
              <w:bottom w:val="single" w:sz="4" w:space="0" w:color="auto"/>
              <w:right w:val="single" w:sz="4" w:space="0" w:color="auto"/>
            </w:tcBorders>
            <w:shd w:val="clear" w:color="000000" w:fill="FFFFFF"/>
            <w:noWrap/>
            <w:vAlign w:val="center"/>
            <w:hideMark/>
          </w:tcPr>
          <w:p w14:paraId="17BEB474"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0A1D7739"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76" w:type="pct"/>
            <w:tcBorders>
              <w:top w:val="nil"/>
              <w:left w:val="nil"/>
              <w:bottom w:val="single" w:sz="4" w:space="0" w:color="auto"/>
              <w:right w:val="single" w:sz="4" w:space="0" w:color="auto"/>
            </w:tcBorders>
            <w:shd w:val="clear" w:color="000000" w:fill="FFFFFF"/>
            <w:noWrap/>
            <w:vAlign w:val="center"/>
            <w:hideMark/>
          </w:tcPr>
          <w:p w14:paraId="2773783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3" w:type="pct"/>
            <w:tcBorders>
              <w:top w:val="nil"/>
              <w:left w:val="nil"/>
              <w:bottom w:val="single" w:sz="4" w:space="0" w:color="auto"/>
              <w:right w:val="single" w:sz="4" w:space="0" w:color="auto"/>
            </w:tcBorders>
            <w:shd w:val="clear" w:color="000000" w:fill="FFFFFF"/>
            <w:noWrap/>
            <w:vAlign w:val="center"/>
            <w:hideMark/>
          </w:tcPr>
          <w:p w14:paraId="13D7736E"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76" w:type="pct"/>
            <w:tcBorders>
              <w:top w:val="nil"/>
              <w:left w:val="nil"/>
              <w:bottom w:val="single" w:sz="4" w:space="0" w:color="auto"/>
              <w:right w:val="single" w:sz="4" w:space="0" w:color="auto"/>
            </w:tcBorders>
            <w:shd w:val="clear" w:color="000000" w:fill="FFFFFF"/>
            <w:noWrap/>
            <w:vAlign w:val="center"/>
            <w:hideMark/>
          </w:tcPr>
          <w:p w14:paraId="4B740532"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76" w:type="pct"/>
            <w:tcBorders>
              <w:top w:val="nil"/>
              <w:left w:val="nil"/>
              <w:bottom w:val="single" w:sz="4" w:space="0" w:color="auto"/>
              <w:right w:val="single" w:sz="4" w:space="0" w:color="auto"/>
            </w:tcBorders>
            <w:shd w:val="clear" w:color="000000" w:fill="FFFFFF"/>
            <w:noWrap/>
            <w:vAlign w:val="center"/>
            <w:hideMark/>
          </w:tcPr>
          <w:p w14:paraId="3CF83EE2"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7" w:type="pct"/>
            <w:tcBorders>
              <w:top w:val="nil"/>
              <w:left w:val="nil"/>
              <w:bottom w:val="single" w:sz="4" w:space="0" w:color="auto"/>
              <w:right w:val="single" w:sz="4" w:space="0" w:color="auto"/>
            </w:tcBorders>
            <w:shd w:val="clear" w:color="000000" w:fill="FFFFFF"/>
            <w:noWrap/>
            <w:vAlign w:val="center"/>
            <w:hideMark/>
          </w:tcPr>
          <w:p w14:paraId="1A91374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2" w:type="pct"/>
            <w:tcBorders>
              <w:top w:val="nil"/>
              <w:left w:val="nil"/>
              <w:bottom w:val="single" w:sz="4" w:space="0" w:color="auto"/>
              <w:right w:val="single" w:sz="4" w:space="0" w:color="auto"/>
            </w:tcBorders>
            <w:shd w:val="clear" w:color="000000" w:fill="FFFFFF"/>
            <w:noWrap/>
            <w:vAlign w:val="center"/>
            <w:hideMark/>
          </w:tcPr>
          <w:p w14:paraId="500243BB"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0" w:type="pct"/>
            <w:tcBorders>
              <w:top w:val="nil"/>
              <w:left w:val="nil"/>
              <w:bottom w:val="single" w:sz="4" w:space="0" w:color="auto"/>
              <w:right w:val="single" w:sz="4" w:space="0" w:color="auto"/>
            </w:tcBorders>
            <w:shd w:val="clear" w:color="000000" w:fill="FFFFFF"/>
            <w:noWrap/>
            <w:vAlign w:val="center"/>
            <w:hideMark/>
          </w:tcPr>
          <w:p w14:paraId="01ED4BD5"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7" w:type="pct"/>
            <w:tcBorders>
              <w:top w:val="nil"/>
              <w:left w:val="nil"/>
              <w:bottom w:val="single" w:sz="4" w:space="0" w:color="auto"/>
              <w:right w:val="single" w:sz="4" w:space="0" w:color="auto"/>
            </w:tcBorders>
            <w:shd w:val="clear" w:color="000000" w:fill="FFFFFF"/>
            <w:noWrap/>
            <w:vAlign w:val="center"/>
            <w:hideMark/>
          </w:tcPr>
          <w:p w14:paraId="0782D744"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7" w:type="pct"/>
            <w:tcBorders>
              <w:top w:val="nil"/>
              <w:left w:val="nil"/>
              <w:bottom w:val="single" w:sz="4" w:space="0" w:color="auto"/>
              <w:right w:val="single" w:sz="4" w:space="0" w:color="auto"/>
            </w:tcBorders>
            <w:shd w:val="clear" w:color="000000" w:fill="FFFFFF"/>
            <w:noWrap/>
            <w:vAlign w:val="center"/>
            <w:hideMark/>
          </w:tcPr>
          <w:p w14:paraId="4188F79D"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334" w:type="pct"/>
            <w:tcBorders>
              <w:top w:val="nil"/>
              <w:left w:val="nil"/>
              <w:bottom w:val="single" w:sz="4" w:space="0" w:color="auto"/>
              <w:right w:val="single" w:sz="4" w:space="0" w:color="auto"/>
            </w:tcBorders>
            <w:shd w:val="clear" w:color="000000" w:fill="FFFFFF"/>
            <w:noWrap/>
            <w:vAlign w:val="center"/>
            <w:hideMark/>
          </w:tcPr>
          <w:p w14:paraId="3E901D70"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8" w:type="pct"/>
            <w:tcBorders>
              <w:top w:val="nil"/>
              <w:left w:val="nil"/>
              <w:bottom w:val="single" w:sz="4" w:space="0" w:color="auto"/>
              <w:right w:val="single" w:sz="4" w:space="0" w:color="auto"/>
            </w:tcBorders>
            <w:shd w:val="clear" w:color="000000" w:fill="FFFFFF"/>
            <w:noWrap/>
            <w:vAlign w:val="center"/>
            <w:hideMark/>
          </w:tcPr>
          <w:p w14:paraId="39C63352"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2" w:type="pct"/>
            <w:tcBorders>
              <w:top w:val="nil"/>
              <w:left w:val="nil"/>
              <w:bottom w:val="single" w:sz="4" w:space="0" w:color="auto"/>
              <w:right w:val="single" w:sz="4" w:space="0" w:color="auto"/>
            </w:tcBorders>
            <w:shd w:val="clear" w:color="000000" w:fill="FFFFFF"/>
            <w:noWrap/>
            <w:vAlign w:val="center"/>
            <w:hideMark/>
          </w:tcPr>
          <w:p w14:paraId="03AB9E45"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69E3697F"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4" w:type="pct"/>
            <w:tcBorders>
              <w:top w:val="nil"/>
              <w:left w:val="nil"/>
              <w:bottom w:val="single" w:sz="4" w:space="0" w:color="auto"/>
              <w:right w:val="single" w:sz="4" w:space="0" w:color="auto"/>
            </w:tcBorders>
            <w:shd w:val="clear" w:color="000000" w:fill="FFFFFF"/>
          </w:tcPr>
          <w:p w14:paraId="54532253"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17/17</w:t>
            </w:r>
          </w:p>
        </w:tc>
      </w:tr>
      <w:tr w:rsidR="00EE4BF0" w:rsidRPr="008C0A90" w14:paraId="212AD388" w14:textId="77777777" w:rsidTr="007D1DAE">
        <w:trPr>
          <w:trHeight w:val="1081"/>
        </w:trPr>
        <w:tc>
          <w:tcPr>
            <w:tcW w:w="107" w:type="pct"/>
            <w:tcBorders>
              <w:top w:val="nil"/>
              <w:left w:val="single" w:sz="4" w:space="0" w:color="auto"/>
              <w:bottom w:val="single" w:sz="4" w:space="0" w:color="auto"/>
              <w:right w:val="single" w:sz="4" w:space="0" w:color="auto"/>
            </w:tcBorders>
            <w:shd w:val="clear" w:color="000000" w:fill="FFFFFF"/>
            <w:noWrap/>
            <w:vAlign w:val="center"/>
            <w:hideMark/>
          </w:tcPr>
          <w:p w14:paraId="28169342"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lastRenderedPageBreak/>
              <w:t>3</w:t>
            </w:r>
          </w:p>
        </w:tc>
        <w:tc>
          <w:tcPr>
            <w:tcW w:w="883" w:type="pct"/>
            <w:tcBorders>
              <w:top w:val="nil"/>
              <w:left w:val="nil"/>
              <w:bottom w:val="single" w:sz="4" w:space="0" w:color="auto"/>
              <w:right w:val="single" w:sz="4" w:space="0" w:color="auto"/>
            </w:tcBorders>
            <w:shd w:val="clear" w:color="000000" w:fill="FFFFFF"/>
            <w:vAlign w:val="center"/>
            <w:hideMark/>
          </w:tcPr>
          <w:p w14:paraId="051C087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Was there evidence that a formal study protocol including an analysis plan was specified before executing the study?</w:t>
            </w:r>
          </w:p>
        </w:tc>
        <w:tc>
          <w:tcPr>
            <w:tcW w:w="183" w:type="pct"/>
            <w:tcBorders>
              <w:top w:val="nil"/>
              <w:left w:val="nil"/>
              <w:bottom w:val="single" w:sz="4" w:space="0" w:color="auto"/>
              <w:right w:val="single" w:sz="4" w:space="0" w:color="auto"/>
            </w:tcBorders>
            <w:shd w:val="clear" w:color="000000" w:fill="FFFFFF"/>
            <w:noWrap/>
            <w:vAlign w:val="center"/>
            <w:hideMark/>
          </w:tcPr>
          <w:p w14:paraId="1F7EA87C"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5" w:type="pct"/>
            <w:tcBorders>
              <w:top w:val="nil"/>
              <w:left w:val="nil"/>
              <w:bottom w:val="single" w:sz="4" w:space="0" w:color="auto"/>
              <w:right w:val="single" w:sz="4" w:space="0" w:color="auto"/>
            </w:tcBorders>
            <w:shd w:val="clear" w:color="000000" w:fill="FFFFFF"/>
            <w:noWrap/>
            <w:vAlign w:val="center"/>
            <w:hideMark/>
          </w:tcPr>
          <w:p w14:paraId="5912674D"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195" w:type="pct"/>
            <w:tcBorders>
              <w:top w:val="nil"/>
              <w:left w:val="nil"/>
              <w:bottom w:val="single" w:sz="4" w:space="0" w:color="auto"/>
              <w:right w:val="single" w:sz="4" w:space="0" w:color="auto"/>
            </w:tcBorders>
            <w:shd w:val="clear" w:color="000000" w:fill="FFFFFF"/>
            <w:noWrap/>
            <w:vAlign w:val="center"/>
            <w:hideMark/>
          </w:tcPr>
          <w:p w14:paraId="3211CF0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229" w:type="pct"/>
            <w:tcBorders>
              <w:top w:val="nil"/>
              <w:left w:val="nil"/>
              <w:bottom w:val="single" w:sz="4" w:space="0" w:color="auto"/>
              <w:right w:val="single" w:sz="4" w:space="0" w:color="auto"/>
            </w:tcBorders>
            <w:shd w:val="clear" w:color="000000" w:fill="FFFFFF"/>
            <w:noWrap/>
            <w:vAlign w:val="center"/>
            <w:hideMark/>
          </w:tcPr>
          <w:p w14:paraId="704072D8"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176" w:type="pct"/>
            <w:tcBorders>
              <w:top w:val="nil"/>
              <w:left w:val="nil"/>
              <w:bottom w:val="single" w:sz="4" w:space="0" w:color="auto"/>
              <w:right w:val="single" w:sz="4" w:space="0" w:color="auto"/>
            </w:tcBorders>
            <w:shd w:val="clear" w:color="000000" w:fill="FFFFFF"/>
            <w:noWrap/>
            <w:vAlign w:val="center"/>
            <w:hideMark/>
          </w:tcPr>
          <w:p w14:paraId="7382BBDB"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193" w:type="pct"/>
            <w:tcBorders>
              <w:top w:val="nil"/>
              <w:left w:val="nil"/>
              <w:bottom w:val="single" w:sz="4" w:space="0" w:color="auto"/>
              <w:right w:val="single" w:sz="4" w:space="0" w:color="auto"/>
            </w:tcBorders>
            <w:shd w:val="clear" w:color="000000" w:fill="FFFFFF"/>
            <w:noWrap/>
            <w:vAlign w:val="center"/>
            <w:hideMark/>
          </w:tcPr>
          <w:p w14:paraId="796DB645"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76" w:type="pct"/>
            <w:tcBorders>
              <w:top w:val="nil"/>
              <w:left w:val="nil"/>
              <w:bottom w:val="single" w:sz="4" w:space="0" w:color="auto"/>
              <w:right w:val="single" w:sz="4" w:space="0" w:color="auto"/>
            </w:tcBorders>
            <w:shd w:val="clear" w:color="000000" w:fill="FFFFFF"/>
            <w:noWrap/>
            <w:vAlign w:val="center"/>
            <w:hideMark/>
          </w:tcPr>
          <w:p w14:paraId="00F65CB2"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176" w:type="pct"/>
            <w:tcBorders>
              <w:top w:val="nil"/>
              <w:left w:val="nil"/>
              <w:bottom w:val="single" w:sz="4" w:space="0" w:color="auto"/>
              <w:right w:val="single" w:sz="4" w:space="0" w:color="auto"/>
            </w:tcBorders>
            <w:shd w:val="clear" w:color="000000" w:fill="FFFFFF"/>
            <w:noWrap/>
            <w:vAlign w:val="center"/>
            <w:hideMark/>
          </w:tcPr>
          <w:p w14:paraId="064ED43C"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7" w:type="pct"/>
            <w:tcBorders>
              <w:top w:val="nil"/>
              <w:left w:val="nil"/>
              <w:bottom w:val="single" w:sz="4" w:space="0" w:color="auto"/>
              <w:right w:val="single" w:sz="4" w:space="0" w:color="auto"/>
            </w:tcBorders>
            <w:shd w:val="clear" w:color="000000" w:fill="FFFFFF"/>
            <w:noWrap/>
            <w:vAlign w:val="center"/>
            <w:hideMark/>
          </w:tcPr>
          <w:p w14:paraId="1930C4C9"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232" w:type="pct"/>
            <w:tcBorders>
              <w:top w:val="nil"/>
              <w:left w:val="nil"/>
              <w:bottom w:val="single" w:sz="4" w:space="0" w:color="auto"/>
              <w:right w:val="single" w:sz="4" w:space="0" w:color="auto"/>
            </w:tcBorders>
            <w:shd w:val="clear" w:color="000000" w:fill="FFFFFF"/>
            <w:noWrap/>
            <w:vAlign w:val="center"/>
            <w:hideMark/>
          </w:tcPr>
          <w:p w14:paraId="7EFA20D3"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0" w:type="pct"/>
            <w:tcBorders>
              <w:top w:val="nil"/>
              <w:left w:val="nil"/>
              <w:bottom w:val="single" w:sz="4" w:space="0" w:color="auto"/>
              <w:right w:val="single" w:sz="4" w:space="0" w:color="auto"/>
            </w:tcBorders>
            <w:shd w:val="clear" w:color="000000" w:fill="FFFFFF"/>
            <w:noWrap/>
            <w:vAlign w:val="center"/>
            <w:hideMark/>
          </w:tcPr>
          <w:p w14:paraId="5CCA3C5D"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7" w:type="pct"/>
            <w:tcBorders>
              <w:top w:val="nil"/>
              <w:left w:val="nil"/>
              <w:bottom w:val="single" w:sz="4" w:space="0" w:color="auto"/>
              <w:right w:val="single" w:sz="4" w:space="0" w:color="auto"/>
            </w:tcBorders>
            <w:shd w:val="clear" w:color="000000" w:fill="FFFFFF"/>
            <w:noWrap/>
            <w:vAlign w:val="center"/>
            <w:hideMark/>
          </w:tcPr>
          <w:p w14:paraId="557A95A0"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7" w:type="pct"/>
            <w:tcBorders>
              <w:top w:val="nil"/>
              <w:left w:val="nil"/>
              <w:bottom w:val="single" w:sz="4" w:space="0" w:color="auto"/>
              <w:right w:val="single" w:sz="4" w:space="0" w:color="auto"/>
            </w:tcBorders>
            <w:shd w:val="clear" w:color="000000" w:fill="FFFFFF"/>
            <w:noWrap/>
            <w:vAlign w:val="center"/>
            <w:hideMark/>
          </w:tcPr>
          <w:p w14:paraId="5ACAECCC"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334" w:type="pct"/>
            <w:tcBorders>
              <w:top w:val="nil"/>
              <w:left w:val="nil"/>
              <w:bottom w:val="single" w:sz="4" w:space="0" w:color="auto"/>
              <w:right w:val="single" w:sz="4" w:space="0" w:color="auto"/>
            </w:tcBorders>
            <w:shd w:val="clear" w:color="000000" w:fill="FFFFFF"/>
            <w:noWrap/>
            <w:vAlign w:val="center"/>
            <w:hideMark/>
          </w:tcPr>
          <w:p w14:paraId="35EB2780"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198" w:type="pct"/>
            <w:tcBorders>
              <w:top w:val="nil"/>
              <w:left w:val="nil"/>
              <w:bottom w:val="single" w:sz="4" w:space="0" w:color="auto"/>
              <w:right w:val="single" w:sz="4" w:space="0" w:color="auto"/>
            </w:tcBorders>
            <w:shd w:val="clear" w:color="000000" w:fill="FFFFFF"/>
            <w:noWrap/>
            <w:vAlign w:val="center"/>
            <w:hideMark/>
          </w:tcPr>
          <w:p w14:paraId="195727B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232" w:type="pct"/>
            <w:tcBorders>
              <w:top w:val="nil"/>
              <w:left w:val="nil"/>
              <w:bottom w:val="single" w:sz="4" w:space="0" w:color="auto"/>
              <w:right w:val="single" w:sz="4" w:space="0" w:color="auto"/>
            </w:tcBorders>
            <w:shd w:val="clear" w:color="000000" w:fill="FFFFFF"/>
            <w:noWrap/>
            <w:vAlign w:val="center"/>
            <w:hideMark/>
          </w:tcPr>
          <w:p w14:paraId="3F9BD653"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5879FA21"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4" w:type="pct"/>
            <w:tcBorders>
              <w:top w:val="nil"/>
              <w:left w:val="nil"/>
              <w:bottom w:val="single" w:sz="4" w:space="0" w:color="auto"/>
              <w:right w:val="single" w:sz="4" w:space="0" w:color="auto"/>
            </w:tcBorders>
            <w:shd w:val="clear" w:color="000000" w:fill="FFFFFF"/>
          </w:tcPr>
          <w:p w14:paraId="5A7DA4DF"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8/17</w:t>
            </w:r>
          </w:p>
        </w:tc>
      </w:tr>
      <w:tr w:rsidR="00EE4BF0" w:rsidRPr="008C0A90" w14:paraId="31594349" w14:textId="77777777" w:rsidTr="007D1DAE">
        <w:trPr>
          <w:trHeight w:val="811"/>
        </w:trPr>
        <w:tc>
          <w:tcPr>
            <w:tcW w:w="107" w:type="pct"/>
            <w:tcBorders>
              <w:top w:val="nil"/>
              <w:left w:val="single" w:sz="4" w:space="0" w:color="auto"/>
              <w:bottom w:val="single" w:sz="4" w:space="0" w:color="auto"/>
              <w:right w:val="single" w:sz="4" w:space="0" w:color="auto"/>
            </w:tcBorders>
            <w:shd w:val="clear" w:color="000000" w:fill="FFFFFF"/>
            <w:noWrap/>
            <w:vAlign w:val="center"/>
            <w:hideMark/>
          </w:tcPr>
          <w:p w14:paraId="0301DE0E"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4</w:t>
            </w:r>
          </w:p>
        </w:tc>
        <w:tc>
          <w:tcPr>
            <w:tcW w:w="883" w:type="pct"/>
            <w:tcBorders>
              <w:top w:val="nil"/>
              <w:left w:val="nil"/>
              <w:bottom w:val="single" w:sz="4" w:space="0" w:color="auto"/>
              <w:right w:val="single" w:sz="4" w:space="0" w:color="auto"/>
            </w:tcBorders>
            <w:shd w:val="clear" w:color="000000" w:fill="FFFFFF"/>
            <w:vAlign w:val="center"/>
            <w:hideMark/>
          </w:tcPr>
          <w:p w14:paraId="79B063C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Were sample size and statistical power to detect differences addressed?</w:t>
            </w:r>
          </w:p>
        </w:tc>
        <w:tc>
          <w:tcPr>
            <w:tcW w:w="183" w:type="pct"/>
            <w:tcBorders>
              <w:top w:val="nil"/>
              <w:left w:val="nil"/>
              <w:bottom w:val="single" w:sz="4" w:space="0" w:color="auto"/>
              <w:right w:val="single" w:sz="4" w:space="0" w:color="auto"/>
            </w:tcBorders>
            <w:shd w:val="clear" w:color="000000" w:fill="FFFFFF"/>
            <w:noWrap/>
            <w:vAlign w:val="center"/>
            <w:hideMark/>
          </w:tcPr>
          <w:p w14:paraId="7EF1897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95" w:type="pct"/>
            <w:tcBorders>
              <w:top w:val="nil"/>
              <w:left w:val="nil"/>
              <w:bottom w:val="single" w:sz="4" w:space="0" w:color="auto"/>
              <w:right w:val="single" w:sz="4" w:space="0" w:color="auto"/>
            </w:tcBorders>
            <w:shd w:val="clear" w:color="000000" w:fill="FFFFFF"/>
            <w:noWrap/>
            <w:vAlign w:val="center"/>
            <w:hideMark/>
          </w:tcPr>
          <w:p w14:paraId="13336A7B"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95" w:type="pct"/>
            <w:tcBorders>
              <w:top w:val="nil"/>
              <w:left w:val="nil"/>
              <w:bottom w:val="single" w:sz="4" w:space="0" w:color="auto"/>
              <w:right w:val="single" w:sz="4" w:space="0" w:color="auto"/>
            </w:tcBorders>
            <w:shd w:val="clear" w:color="000000" w:fill="FFFFFF"/>
            <w:noWrap/>
            <w:vAlign w:val="center"/>
            <w:hideMark/>
          </w:tcPr>
          <w:p w14:paraId="3688B8D7"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29" w:type="pct"/>
            <w:tcBorders>
              <w:top w:val="nil"/>
              <w:left w:val="nil"/>
              <w:bottom w:val="single" w:sz="4" w:space="0" w:color="auto"/>
              <w:right w:val="single" w:sz="4" w:space="0" w:color="auto"/>
            </w:tcBorders>
            <w:shd w:val="clear" w:color="000000" w:fill="FFFFFF"/>
            <w:noWrap/>
            <w:vAlign w:val="center"/>
            <w:hideMark/>
          </w:tcPr>
          <w:p w14:paraId="3627E6E0"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76" w:type="pct"/>
            <w:tcBorders>
              <w:top w:val="nil"/>
              <w:left w:val="nil"/>
              <w:bottom w:val="single" w:sz="4" w:space="0" w:color="auto"/>
              <w:right w:val="single" w:sz="4" w:space="0" w:color="auto"/>
            </w:tcBorders>
            <w:shd w:val="clear" w:color="000000" w:fill="FFFFFF"/>
            <w:noWrap/>
            <w:vAlign w:val="center"/>
            <w:hideMark/>
          </w:tcPr>
          <w:p w14:paraId="33D0DFE4"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93" w:type="pct"/>
            <w:tcBorders>
              <w:top w:val="nil"/>
              <w:left w:val="nil"/>
              <w:bottom w:val="single" w:sz="4" w:space="0" w:color="auto"/>
              <w:right w:val="single" w:sz="4" w:space="0" w:color="auto"/>
            </w:tcBorders>
            <w:shd w:val="clear" w:color="000000" w:fill="FFFFFF"/>
            <w:noWrap/>
            <w:vAlign w:val="center"/>
            <w:hideMark/>
          </w:tcPr>
          <w:p w14:paraId="6F29F05D"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76" w:type="pct"/>
            <w:tcBorders>
              <w:top w:val="nil"/>
              <w:left w:val="nil"/>
              <w:bottom w:val="single" w:sz="4" w:space="0" w:color="auto"/>
              <w:right w:val="single" w:sz="4" w:space="0" w:color="auto"/>
            </w:tcBorders>
            <w:shd w:val="clear" w:color="000000" w:fill="FFFFFF"/>
            <w:noWrap/>
            <w:vAlign w:val="center"/>
            <w:hideMark/>
          </w:tcPr>
          <w:p w14:paraId="36F70504"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76" w:type="pct"/>
            <w:tcBorders>
              <w:top w:val="nil"/>
              <w:left w:val="nil"/>
              <w:bottom w:val="single" w:sz="4" w:space="0" w:color="auto"/>
              <w:right w:val="single" w:sz="4" w:space="0" w:color="auto"/>
            </w:tcBorders>
            <w:shd w:val="clear" w:color="000000" w:fill="FFFFFF"/>
            <w:noWrap/>
            <w:vAlign w:val="center"/>
            <w:hideMark/>
          </w:tcPr>
          <w:p w14:paraId="3D882D37"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97" w:type="pct"/>
            <w:tcBorders>
              <w:top w:val="nil"/>
              <w:left w:val="nil"/>
              <w:bottom w:val="single" w:sz="4" w:space="0" w:color="auto"/>
              <w:right w:val="single" w:sz="4" w:space="0" w:color="auto"/>
            </w:tcBorders>
            <w:shd w:val="clear" w:color="000000" w:fill="FFFFFF"/>
            <w:noWrap/>
            <w:vAlign w:val="center"/>
            <w:hideMark/>
          </w:tcPr>
          <w:p w14:paraId="2C3B6AC0"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32" w:type="pct"/>
            <w:tcBorders>
              <w:top w:val="nil"/>
              <w:left w:val="nil"/>
              <w:bottom w:val="single" w:sz="4" w:space="0" w:color="auto"/>
              <w:right w:val="single" w:sz="4" w:space="0" w:color="auto"/>
            </w:tcBorders>
            <w:shd w:val="clear" w:color="000000" w:fill="FFFFFF"/>
            <w:noWrap/>
            <w:vAlign w:val="center"/>
            <w:hideMark/>
          </w:tcPr>
          <w:p w14:paraId="7E7B246F"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30" w:type="pct"/>
            <w:tcBorders>
              <w:top w:val="nil"/>
              <w:left w:val="nil"/>
              <w:bottom w:val="single" w:sz="4" w:space="0" w:color="auto"/>
              <w:right w:val="single" w:sz="4" w:space="0" w:color="auto"/>
            </w:tcBorders>
            <w:shd w:val="clear" w:color="000000" w:fill="FFFFFF"/>
            <w:noWrap/>
            <w:vAlign w:val="center"/>
            <w:hideMark/>
          </w:tcPr>
          <w:p w14:paraId="5531AA9D"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67" w:type="pct"/>
            <w:tcBorders>
              <w:top w:val="nil"/>
              <w:left w:val="nil"/>
              <w:bottom w:val="single" w:sz="4" w:space="0" w:color="auto"/>
              <w:right w:val="single" w:sz="4" w:space="0" w:color="auto"/>
            </w:tcBorders>
            <w:shd w:val="clear" w:color="000000" w:fill="FFFFFF"/>
            <w:noWrap/>
            <w:vAlign w:val="center"/>
            <w:hideMark/>
          </w:tcPr>
          <w:p w14:paraId="6D6B1F4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67" w:type="pct"/>
            <w:tcBorders>
              <w:top w:val="nil"/>
              <w:left w:val="nil"/>
              <w:bottom w:val="single" w:sz="4" w:space="0" w:color="auto"/>
              <w:right w:val="single" w:sz="4" w:space="0" w:color="auto"/>
            </w:tcBorders>
            <w:shd w:val="clear" w:color="000000" w:fill="FFFFFF"/>
            <w:noWrap/>
            <w:vAlign w:val="center"/>
            <w:hideMark/>
          </w:tcPr>
          <w:p w14:paraId="419BC341"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334" w:type="pct"/>
            <w:tcBorders>
              <w:top w:val="nil"/>
              <w:left w:val="nil"/>
              <w:bottom w:val="single" w:sz="4" w:space="0" w:color="auto"/>
              <w:right w:val="single" w:sz="4" w:space="0" w:color="auto"/>
            </w:tcBorders>
            <w:shd w:val="clear" w:color="000000" w:fill="FFFFFF"/>
            <w:noWrap/>
            <w:vAlign w:val="center"/>
            <w:hideMark/>
          </w:tcPr>
          <w:p w14:paraId="0F9E742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98" w:type="pct"/>
            <w:tcBorders>
              <w:top w:val="nil"/>
              <w:left w:val="nil"/>
              <w:bottom w:val="single" w:sz="4" w:space="0" w:color="auto"/>
              <w:right w:val="single" w:sz="4" w:space="0" w:color="auto"/>
            </w:tcBorders>
            <w:shd w:val="clear" w:color="000000" w:fill="FFFFFF"/>
            <w:noWrap/>
            <w:vAlign w:val="center"/>
            <w:hideMark/>
          </w:tcPr>
          <w:p w14:paraId="4CDA9FFC"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32" w:type="pct"/>
            <w:tcBorders>
              <w:top w:val="nil"/>
              <w:left w:val="nil"/>
              <w:bottom w:val="single" w:sz="4" w:space="0" w:color="auto"/>
              <w:right w:val="single" w:sz="4" w:space="0" w:color="auto"/>
            </w:tcBorders>
            <w:shd w:val="clear" w:color="000000" w:fill="FFFFFF"/>
            <w:noWrap/>
            <w:vAlign w:val="center"/>
            <w:hideMark/>
          </w:tcPr>
          <w:p w14:paraId="7A3859A4"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66" w:type="pct"/>
            <w:tcBorders>
              <w:top w:val="nil"/>
              <w:left w:val="nil"/>
              <w:bottom w:val="single" w:sz="4" w:space="0" w:color="auto"/>
              <w:right w:val="single" w:sz="4" w:space="0" w:color="auto"/>
            </w:tcBorders>
            <w:shd w:val="clear" w:color="000000" w:fill="FFFFFF"/>
            <w:noWrap/>
            <w:vAlign w:val="center"/>
            <w:hideMark/>
          </w:tcPr>
          <w:p w14:paraId="5ED3D34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64" w:type="pct"/>
            <w:tcBorders>
              <w:top w:val="nil"/>
              <w:left w:val="nil"/>
              <w:bottom w:val="single" w:sz="4" w:space="0" w:color="auto"/>
              <w:right w:val="single" w:sz="4" w:space="0" w:color="auto"/>
            </w:tcBorders>
            <w:shd w:val="clear" w:color="000000" w:fill="FFFFFF"/>
          </w:tcPr>
          <w:p w14:paraId="7F5D1771"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r>
      <w:tr w:rsidR="00EE4BF0" w:rsidRPr="008C0A90" w14:paraId="4DD55E84" w14:textId="77777777" w:rsidTr="007D1DAE">
        <w:trPr>
          <w:trHeight w:val="540"/>
        </w:trPr>
        <w:tc>
          <w:tcPr>
            <w:tcW w:w="107" w:type="pct"/>
            <w:tcBorders>
              <w:top w:val="nil"/>
              <w:left w:val="single" w:sz="4" w:space="0" w:color="auto"/>
              <w:bottom w:val="single" w:sz="4" w:space="0" w:color="auto"/>
              <w:right w:val="single" w:sz="4" w:space="0" w:color="auto"/>
            </w:tcBorders>
            <w:shd w:val="clear" w:color="000000" w:fill="FFFFFF"/>
            <w:noWrap/>
            <w:vAlign w:val="center"/>
            <w:hideMark/>
          </w:tcPr>
          <w:p w14:paraId="48771D7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5</w:t>
            </w:r>
          </w:p>
        </w:tc>
        <w:tc>
          <w:tcPr>
            <w:tcW w:w="883" w:type="pct"/>
            <w:tcBorders>
              <w:top w:val="nil"/>
              <w:left w:val="nil"/>
              <w:bottom w:val="single" w:sz="4" w:space="0" w:color="auto"/>
              <w:right w:val="single" w:sz="4" w:space="0" w:color="auto"/>
            </w:tcBorders>
            <w:shd w:val="clear" w:color="000000" w:fill="FFFFFF"/>
            <w:vAlign w:val="center"/>
            <w:hideMark/>
          </w:tcPr>
          <w:p w14:paraId="1CB21ED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Was a study design used to minimize or account for confounding?</w:t>
            </w:r>
          </w:p>
        </w:tc>
        <w:tc>
          <w:tcPr>
            <w:tcW w:w="183" w:type="pct"/>
            <w:tcBorders>
              <w:top w:val="nil"/>
              <w:left w:val="nil"/>
              <w:bottom w:val="single" w:sz="4" w:space="0" w:color="auto"/>
              <w:right w:val="single" w:sz="4" w:space="0" w:color="auto"/>
            </w:tcBorders>
            <w:shd w:val="clear" w:color="000000" w:fill="FFFFFF"/>
            <w:noWrap/>
            <w:vAlign w:val="center"/>
            <w:hideMark/>
          </w:tcPr>
          <w:p w14:paraId="785527C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195" w:type="pct"/>
            <w:tcBorders>
              <w:top w:val="nil"/>
              <w:left w:val="nil"/>
              <w:bottom w:val="single" w:sz="4" w:space="0" w:color="auto"/>
              <w:right w:val="single" w:sz="4" w:space="0" w:color="auto"/>
            </w:tcBorders>
            <w:shd w:val="clear" w:color="000000" w:fill="FFFFFF"/>
            <w:noWrap/>
            <w:vAlign w:val="center"/>
            <w:hideMark/>
          </w:tcPr>
          <w:p w14:paraId="75E477D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195" w:type="pct"/>
            <w:tcBorders>
              <w:top w:val="nil"/>
              <w:left w:val="nil"/>
              <w:bottom w:val="single" w:sz="4" w:space="0" w:color="auto"/>
              <w:right w:val="single" w:sz="4" w:space="0" w:color="auto"/>
            </w:tcBorders>
            <w:shd w:val="clear" w:color="000000" w:fill="FFFFFF"/>
            <w:noWrap/>
            <w:vAlign w:val="center"/>
            <w:hideMark/>
          </w:tcPr>
          <w:p w14:paraId="58D6CF9E"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229" w:type="pct"/>
            <w:tcBorders>
              <w:top w:val="nil"/>
              <w:left w:val="nil"/>
              <w:bottom w:val="single" w:sz="4" w:space="0" w:color="auto"/>
              <w:right w:val="single" w:sz="4" w:space="0" w:color="auto"/>
            </w:tcBorders>
            <w:shd w:val="clear" w:color="000000" w:fill="FFFFFF"/>
            <w:noWrap/>
            <w:vAlign w:val="center"/>
            <w:hideMark/>
          </w:tcPr>
          <w:p w14:paraId="43E7D01E"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176" w:type="pct"/>
            <w:tcBorders>
              <w:top w:val="nil"/>
              <w:left w:val="nil"/>
              <w:bottom w:val="single" w:sz="4" w:space="0" w:color="auto"/>
              <w:right w:val="single" w:sz="4" w:space="0" w:color="auto"/>
            </w:tcBorders>
            <w:shd w:val="clear" w:color="000000" w:fill="FFFFFF"/>
            <w:noWrap/>
            <w:vAlign w:val="center"/>
            <w:hideMark/>
          </w:tcPr>
          <w:p w14:paraId="2F27E212"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193" w:type="pct"/>
            <w:tcBorders>
              <w:top w:val="nil"/>
              <w:left w:val="nil"/>
              <w:bottom w:val="single" w:sz="4" w:space="0" w:color="auto"/>
              <w:right w:val="single" w:sz="4" w:space="0" w:color="auto"/>
            </w:tcBorders>
            <w:shd w:val="clear" w:color="000000" w:fill="FFFFFF"/>
            <w:noWrap/>
            <w:vAlign w:val="center"/>
            <w:hideMark/>
          </w:tcPr>
          <w:p w14:paraId="281897D8"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176" w:type="pct"/>
            <w:tcBorders>
              <w:top w:val="nil"/>
              <w:left w:val="nil"/>
              <w:bottom w:val="single" w:sz="4" w:space="0" w:color="auto"/>
              <w:right w:val="single" w:sz="4" w:space="0" w:color="auto"/>
            </w:tcBorders>
            <w:shd w:val="clear" w:color="000000" w:fill="FFFFFF"/>
            <w:noWrap/>
            <w:vAlign w:val="center"/>
            <w:hideMark/>
          </w:tcPr>
          <w:p w14:paraId="52860200"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176" w:type="pct"/>
            <w:tcBorders>
              <w:top w:val="nil"/>
              <w:left w:val="nil"/>
              <w:bottom w:val="single" w:sz="4" w:space="0" w:color="auto"/>
              <w:right w:val="single" w:sz="4" w:space="0" w:color="auto"/>
            </w:tcBorders>
            <w:shd w:val="clear" w:color="000000" w:fill="FFFFFF"/>
            <w:noWrap/>
            <w:vAlign w:val="center"/>
            <w:hideMark/>
          </w:tcPr>
          <w:p w14:paraId="7A078D3E"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197" w:type="pct"/>
            <w:tcBorders>
              <w:top w:val="nil"/>
              <w:left w:val="nil"/>
              <w:bottom w:val="single" w:sz="4" w:space="0" w:color="auto"/>
              <w:right w:val="single" w:sz="4" w:space="0" w:color="auto"/>
            </w:tcBorders>
            <w:shd w:val="clear" w:color="000000" w:fill="FFFFFF"/>
            <w:noWrap/>
            <w:vAlign w:val="center"/>
            <w:hideMark/>
          </w:tcPr>
          <w:p w14:paraId="0EC27C29"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2" w:type="pct"/>
            <w:tcBorders>
              <w:top w:val="nil"/>
              <w:left w:val="nil"/>
              <w:bottom w:val="single" w:sz="4" w:space="0" w:color="auto"/>
              <w:right w:val="single" w:sz="4" w:space="0" w:color="auto"/>
            </w:tcBorders>
            <w:shd w:val="clear" w:color="auto" w:fill="auto"/>
            <w:noWrap/>
            <w:vAlign w:val="center"/>
            <w:hideMark/>
          </w:tcPr>
          <w:p w14:paraId="5621F574"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230" w:type="pct"/>
            <w:tcBorders>
              <w:top w:val="nil"/>
              <w:left w:val="nil"/>
              <w:bottom w:val="single" w:sz="4" w:space="0" w:color="auto"/>
              <w:right w:val="single" w:sz="4" w:space="0" w:color="auto"/>
            </w:tcBorders>
            <w:shd w:val="clear" w:color="auto" w:fill="auto"/>
            <w:noWrap/>
            <w:vAlign w:val="center"/>
            <w:hideMark/>
          </w:tcPr>
          <w:p w14:paraId="6FD244B2"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267" w:type="pct"/>
            <w:tcBorders>
              <w:top w:val="nil"/>
              <w:left w:val="nil"/>
              <w:bottom w:val="single" w:sz="4" w:space="0" w:color="auto"/>
              <w:right w:val="single" w:sz="4" w:space="0" w:color="auto"/>
            </w:tcBorders>
            <w:shd w:val="clear" w:color="auto" w:fill="auto"/>
            <w:noWrap/>
            <w:vAlign w:val="center"/>
            <w:hideMark/>
          </w:tcPr>
          <w:p w14:paraId="70A24D88"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267" w:type="pct"/>
            <w:tcBorders>
              <w:top w:val="nil"/>
              <w:left w:val="nil"/>
              <w:bottom w:val="single" w:sz="4" w:space="0" w:color="auto"/>
              <w:right w:val="single" w:sz="4" w:space="0" w:color="auto"/>
            </w:tcBorders>
            <w:shd w:val="clear" w:color="auto" w:fill="auto"/>
            <w:noWrap/>
            <w:vAlign w:val="center"/>
            <w:hideMark/>
          </w:tcPr>
          <w:p w14:paraId="1D8557C4"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334" w:type="pct"/>
            <w:tcBorders>
              <w:top w:val="nil"/>
              <w:left w:val="nil"/>
              <w:bottom w:val="single" w:sz="4" w:space="0" w:color="auto"/>
              <w:right w:val="single" w:sz="4" w:space="0" w:color="auto"/>
            </w:tcBorders>
            <w:shd w:val="clear" w:color="auto" w:fill="auto"/>
            <w:noWrap/>
            <w:vAlign w:val="center"/>
            <w:hideMark/>
          </w:tcPr>
          <w:p w14:paraId="1F84A95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198" w:type="pct"/>
            <w:tcBorders>
              <w:top w:val="nil"/>
              <w:left w:val="nil"/>
              <w:bottom w:val="single" w:sz="4" w:space="0" w:color="auto"/>
              <w:right w:val="single" w:sz="4" w:space="0" w:color="auto"/>
            </w:tcBorders>
            <w:shd w:val="clear" w:color="auto" w:fill="auto"/>
            <w:noWrap/>
            <w:vAlign w:val="center"/>
            <w:hideMark/>
          </w:tcPr>
          <w:p w14:paraId="3F610562"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2" w:type="pct"/>
            <w:tcBorders>
              <w:top w:val="nil"/>
              <w:left w:val="nil"/>
              <w:bottom w:val="single" w:sz="4" w:space="0" w:color="auto"/>
              <w:right w:val="single" w:sz="4" w:space="0" w:color="auto"/>
            </w:tcBorders>
            <w:shd w:val="clear" w:color="auto" w:fill="auto"/>
            <w:noWrap/>
            <w:vAlign w:val="center"/>
            <w:hideMark/>
          </w:tcPr>
          <w:p w14:paraId="081862D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266" w:type="pct"/>
            <w:tcBorders>
              <w:top w:val="nil"/>
              <w:left w:val="nil"/>
              <w:bottom w:val="single" w:sz="4" w:space="0" w:color="auto"/>
              <w:right w:val="single" w:sz="4" w:space="0" w:color="auto"/>
            </w:tcBorders>
            <w:shd w:val="clear" w:color="auto" w:fill="auto"/>
            <w:noWrap/>
            <w:vAlign w:val="center"/>
            <w:hideMark/>
          </w:tcPr>
          <w:p w14:paraId="2A94643D"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0</w:t>
            </w:r>
          </w:p>
        </w:tc>
        <w:tc>
          <w:tcPr>
            <w:tcW w:w="264" w:type="pct"/>
            <w:tcBorders>
              <w:top w:val="nil"/>
              <w:left w:val="nil"/>
              <w:bottom w:val="single" w:sz="4" w:space="0" w:color="auto"/>
              <w:right w:val="single" w:sz="4" w:space="0" w:color="auto"/>
            </w:tcBorders>
          </w:tcPr>
          <w:p w14:paraId="19D6505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2/17</w:t>
            </w:r>
          </w:p>
        </w:tc>
      </w:tr>
      <w:tr w:rsidR="00EE4BF0" w:rsidRPr="008C0A90" w14:paraId="0C4ECAD0" w14:textId="77777777" w:rsidTr="007D1DAE">
        <w:trPr>
          <w:trHeight w:val="811"/>
        </w:trPr>
        <w:tc>
          <w:tcPr>
            <w:tcW w:w="107" w:type="pct"/>
            <w:tcBorders>
              <w:top w:val="nil"/>
              <w:left w:val="single" w:sz="4" w:space="0" w:color="auto"/>
              <w:bottom w:val="single" w:sz="4" w:space="0" w:color="auto"/>
              <w:right w:val="single" w:sz="4" w:space="0" w:color="auto"/>
            </w:tcBorders>
            <w:shd w:val="clear" w:color="000000" w:fill="FFFFFF"/>
            <w:noWrap/>
            <w:vAlign w:val="center"/>
            <w:hideMark/>
          </w:tcPr>
          <w:p w14:paraId="0D97D548"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6</w:t>
            </w:r>
          </w:p>
        </w:tc>
        <w:tc>
          <w:tcPr>
            <w:tcW w:w="883" w:type="pct"/>
            <w:tcBorders>
              <w:top w:val="nil"/>
              <w:left w:val="nil"/>
              <w:bottom w:val="single" w:sz="4" w:space="0" w:color="auto"/>
              <w:right w:val="single" w:sz="4" w:space="0" w:color="auto"/>
            </w:tcBorders>
            <w:shd w:val="clear" w:color="000000" w:fill="FFFFFF"/>
            <w:vAlign w:val="center"/>
            <w:hideMark/>
          </w:tcPr>
          <w:p w14:paraId="14DDF12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Was the follow-up period of sufficient duration to detect differences addressed?</w:t>
            </w:r>
          </w:p>
        </w:tc>
        <w:tc>
          <w:tcPr>
            <w:tcW w:w="183" w:type="pct"/>
            <w:tcBorders>
              <w:top w:val="nil"/>
              <w:left w:val="nil"/>
              <w:bottom w:val="single" w:sz="4" w:space="0" w:color="auto"/>
              <w:right w:val="single" w:sz="4" w:space="0" w:color="auto"/>
            </w:tcBorders>
            <w:shd w:val="clear" w:color="000000" w:fill="FFFFFF"/>
            <w:noWrap/>
            <w:vAlign w:val="center"/>
            <w:hideMark/>
          </w:tcPr>
          <w:p w14:paraId="2178BE95"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95" w:type="pct"/>
            <w:tcBorders>
              <w:top w:val="nil"/>
              <w:left w:val="nil"/>
              <w:bottom w:val="single" w:sz="4" w:space="0" w:color="auto"/>
              <w:right w:val="single" w:sz="4" w:space="0" w:color="auto"/>
            </w:tcBorders>
            <w:shd w:val="clear" w:color="000000" w:fill="FFFFFF"/>
            <w:noWrap/>
            <w:vAlign w:val="center"/>
            <w:hideMark/>
          </w:tcPr>
          <w:p w14:paraId="30341F10"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95" w:type="pct"/>
            <w:tcBorders>
              <w:top w:val="nil"/>
              <w:left w:val="nil"/>
              <w:bottom w:val="single" w:sz="4" w:space="0" w:color="auto"/>
              <w:right w:val="single" w:sz="4" w:space="0" w:color="auto"/>
            </w:tcBorders>
            <w:shd w:val="clear" w:color="000000" w:fill="FFFFFF"/>
            <w:noWrap/>
            <w:vAlign w:val="center"/>
            <w:hideMark/>
          </w:tcPr>
          <w:p w14:paraId="5A9886D9"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29" w:type="pct"/>
            <w:tcBorders>
              <w:top w:val="nil"/>
              <w:left w:val="nil"/>
              <w:bottom w:val="single" w:sz="4" w:space="0" w:color="auto"/>
              <w:right w:val="single" w:sz="4" w:space="0" w:color="auto"/>
            </w:tcBorders>
            <w:shd w:val="clear" w:color="000000" w:fill="FFFFFF"/>
            <w:noWrap/>
            <w:vAlign w:val="center"/>
            <w:hideMark/>
          </w:tcPr>
          <w:p w14:paraId="287A0B19"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76" w:type="pct"/>
            <w:tcBorders>
              <w:top w:val="nil"/>
              <w:left w:val="nil"/>
              <w:bottom w:val="single" w:sz="4" w:space="0" w:color="auto"/>
              <w:right w:val="single" w:sz="4" w:space="0" w:color="auto"/>
            </w:tcBorders>
            <w:shd w:val="clear" w:color="000000" w:fill="FFFFFF"/>
            <w:noWrap/>
            <w:vAlign w:val="center"/>
            <w:hideMark/>
          </w:tcPr>
          <w:p w14:paraId="6D0896DF"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93" w:type="pct"/>
            <w:tcBorders>
              <w:top w:val="nil"/>
              <w:left w:val="nil"/>
              <w:bottom w:val="single" w:sz="4" w:space="0" w:color="auto"/>
              <w:right w:val="single" w:sz="4" w:space="0" w:color="auto"/>
            </w:tcBorders>
            <w:shd w:val="clear" w:color="000000" w:fill="FFFFFF"/>
            <w:noWrap/>
            <w:vAlign w:val="center"/>
            <w:hideMark/>
          </w:tcPr>
          <w:p w14:paraId="7D90CC37"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76" w:type="pct"/>
            <w:tcBorders>
              <w:top w:val="nil"/>
              <w:left w:val="nil"/>
              <w:bottom w:val="single" w:sz="4" w:space="0" w:color="auto"/>
              <w:right w:val="single" w:sz="4" w:space="0" w:color="auto"/>
            </w:tcBorders>
            <w:shd w:val="clear" w:color="000000" w:fill="FFFFFF"/>
            <w:noWrap/>
            <w:vAlign w:val="center"/>
            <w:hideMark/>
          </w:tcPr>
          <w:p w14:paraId="36F746B4"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76" w:type="pct"/>
            <w:tcBorders>
              <w:top w:val="nil"/>
              <w:left w:val="nil"/>
              <w:bottom w:val="single" w:sz="4" w:space="0" w:color="auto"/>
              <w:right w:val="single" w:sz="4" w:space="0" w:color="auto"/>
            </w:tcBorders>
            <w:shd w:val="clear" w:color="000000" w:fill="FFFFFF"/>
            <w:noWrap/>
            <w:vAlign w:val="center"/>
            <w:hideMark/>
          </w:tcPr>
          <w:p w14:paraId="47603072"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97" w:type="pct"/>
            <w:tcBorders>
              <w:top w:val="nil"/>
              <w:left w:val="nil"/>
              <w:bottom w:val="single" w:sz="4" w:space="0" w:color="auto"/>
              <w:right w:val="single" w:sz="4" w:space="0" w:color="auto"/>
            </w:tcBorders>
            <w:shd w:val="clear" w:color="000000" w:fill="FFFFFF"/>
            <w:noWrap/>
            <w:vAlign w:val="center"/>
            <w:hideMark/>
          </w:tcPr>
          <w:p w14:paraId="502F6313"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32" w:type="pct"/>
            <w:tcBorders>
              <w:top w:val="nil"/>
              <w:left w:val="nil"/>
              <w:bottom w:val="single" w:sz="4" w:space="0" w:color="auto"/>
              <w:right w:val="single" w:sz="4" w:space="0" w:color="auto"/>
            </w:tcBorders>
            <w:shd w:val="clear" w:color="000000" w:fill="FFFFFF"/>
            <w:noWrap/>
            <w:vAlign w:val="center"/>
            <w:hideMark/>
          </w:tcPr>
          <w:p w14:paraId="44F8ABB1"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30" w:type="pct"/>
            <w:tcBorders>
              <w:top w:val="nil"/>
              <w:left w:val="nil"/>
              <w:bottom w:val="single" w:sz="4" w:space="0" w:color="auto"/>
              <w:right w:val="single" w:sz="4" w:space="0" w:color="auto"/>
            </w:tcBorders>
            <w:shd w:val="clear" w:color="000000" w:fill="FFFFFF"/>
            <w:noWrap/>
            <w:vAlign w:val="center"/>
            <w:hideMark/>
          </w:tcPr>
          <w:p w14:paraId="12DF6C5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67" w:type="pct"/>
            <w:tcBorders>
              <w:top w:val="nil"/>
              <w:left w:val="nil"/>
              <w:bottom w:val="single" w:sz="4" w:space="0" w:color="auto"/>
              <w:right w:val="single" w:sz="4" w:space="0" w:color="auto"/>
            </w:tcBorders>
            <w:shd w:val="clear" w:color="000000" w:fill="FFFFFF"/>
            <w:noWrap/>
            <w:vAlign w:val="center"/>
            <w:hideMark/>
          </w:tcPr>
          <w:p w14:paraId="204BDA37"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67" w:type="pct"/>
            <w:tcBorders>
              <w:top w:val="nil"/>
              <w:left w:val="nil"/>
              <w:bottom w:val="single" w:sz="4" w:space="0" w:color="auto"/>
              <w:right w:val="single" w:sz="4" w:space="0" w:color="auto"/>
            </w:tcBorders>
            <w:shd w:val="clear" w:color="000000" w:fill="FFFFFF"/>
            <w:noWrap/>
            <w:vAlign w:val="center"/>
            <w:hideMark/>
          </w:tcPr>
          <w:p w14:paraId="18FF219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334" w:type="pct"/>
            <w:tcBorders>
              <w:top w:val="nil"/>
              <w:left w:val="nil"/>
              <w:bottom w:val="single" w:sz="4" w:space="0" w:color="auto"/>
              <w:right w:val="single" w:sz="4" w:space="0" w:color="auto"/>
            </w:tcBorders>
            <w:shd w:val="clear" w:color="000000" w:fill="FFFFFF"/>
            <w:noWrap/>
            <w:vAlign w:val="center"/>
            <w:hideMark/>
          </w:tcPr>
          <w:p w14:paraId="0EB8346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198" w:type="pct"/>
            <w:tcBorders>
              <w:top w:val="nil"/>
              <w:left w:val="nil"/>
              <w:bottom w:val="single" w:sz="4" w:space="0" w:color="auto"/>
              <w:right w:val="single" w:sz="4" w:space="0" w:color="auto"/>
            </w:tcBorders>
            <w:shd w:val="clear" w:color="000000" w:fill="FFFFFF"/>
            <w:noWrap/>
            <w:vAlign w:val="center"/>
            <w:hideMark/>
          </w:tcPr>
          <w:p w14:paraId="4BBF6D78"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32" w:type="pct"/>
            <w:tcBorders>
              <w:top w:val="nil"/>
              <w:left w:val="nil"/>
              <w:bottom w:val="single" w:sz="4" w:space="0" w:color="auto"/>
              <w:right w:val="single" w:sz="4" w:space="0" w:color="auto"/>
            </w:tcBorders>
            <w:shd w:val="clear" w:color="000000" w:fill="FFFFFF"/>
            <w:noWrap/>
            <w:vAlign w:val="center"/>
            <w:hideMark/>
          </w:tcPr>
          <w:p w14:paraId="09D77FD2"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66" w:type="pct"/>
            <w:tcBorders>
              <w:top w:val="nil"/>
              <w:left w:val="nil"/>
              <w:bottom w:val="single" w:sz="4" w:space="0" w:color="auto"/>
              <w:right w:val="single" w:sz="4" w:space="0" w:color="auto"/>
            </w:tcBorders>
            <w:shd w:val="clear" w:color="000000" w:fill="FFFFFF"/>
            <w:noWrap/>
            <w:vAlign w:val="center"/>
            <w:hideMark/>
          </w:tcPr>
          <w:p w14:paraId="2B4F4BFE"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NA</w:t>
            </w:r>
          </w:p>
        </w:tc>
        <w:tc>
          <w:tcPr>
            <w:tcW w:w="264" w:type="pct"/>
            <w:tcBorders>
              <w:top w:val="nil"/>
              <w:left w:val="nil"/>
              <w:bottom w:val="single" w:sz="4" w:space="0" w:color="auto"/>
              <w:right w:val="single" w:sz="4" w:space="0" w:color="auto"/>
            </w:tcBorders>
            <w:shd w:val="clear" w:color="000000" w:fill="FFFFFF"/>
          </w:tcPr>
          <w:p w14:paraId="1C232BA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p>
        </w:tc>
      </w:tr>
      <w:tr w:rsidR="00EE4BF0" w:rsidRPr="008C0A90" w14:paraId="3969CBE1" w14:textId="77777777" w:rsidTr="007D1DAE">
        <w:trPr>
          <w:trHeight w:val="1081"/>
        </w:trPr>
        <w:tc>
          <w:tcPr>
            <w:tcW w:w="107" w:type="pct"/>
            <w:tcBorders>
              <w:top w:val="nil"/>
              <w:left w:val="single" w:sz="4" w:space="0" w:color="auto"/>
              <w:bottom w:val="single" w:sz="4" w:space="0" w:color="auto"/>
              <w:right w:val="single" w:sz="4" w:space="0" w:color="auto"/>
            </w:tcBorders>
            <w:shd w:val="clear" w:color="000000" w:fill="FFFFFF"/>
            <w:noWrap/>
            <w:vAlign w:val="center"/>
            <w:hideMark/>
          </w:tcPr>
          <w:p w14:paraId="45C74DED"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7</w:t>
            </w:r>
          </w:p>
        </w:tc>
        <w:tc>
          <w:tcPr>
            <w:tcW w:w="883" w:type="pct"/>
            <w:tcBorders>
              <w:top w:val="nil"/>
              <w:left w:val="nil"/>
              <w:bottom w:val="single" w:sz="4" w:space="0" w:color="auto"/>
              <w:right w:val="single" w:sz="4" w:space="0" w:color="auto"/>
            </w:tcBorders>
            <w:shd w:val="clear" w:color="000000" w:fill="FFFFFF"/>
            <w:vAlign w:val="center"/>
            <w:hideMark/>
          </w:tcPr>
          <w:p w14:paraId="0A05581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Were the sources, criteria, and methods for selecting participants appropriate to address the study questions/hypotheses?</w:t>
            </w:r>
          </w:p>
        </w:tc>
        <w:tc>
          <w:tcPr>
            <w:tcW w:w="183" w:type="pct"/>
            <w:tcBorders>
              <w:top w:val="nil"/>
              <w:left w:val="nil"/>
              <w:bottom w:val="single" w:sz="4" w:space="0" w:color="auto"/>
              <w:right w:val="single" w:sz="4" w:space="0" w:color="auto"/>
            </w:tcBorders>
            <w:shd w:val="clear" w:color="000000" w:fill="FFFFFF"/>
            <w:noWrap/>
            <w:vAlign w:val="center"/>
            <w:hideMark/>
          </w:tcPr>
          <w:p w14:paraId="0A1024EC"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5" w:type="pct"/>
            <w:tcBorders>
              <w:top w:val="nil"/>
              <w:left w:val="nil"/>
              <w:bottom w:val="single" w:sz="4" w:space="0" w:color="auto"/>
              <w:right w:val="single" w:sz="4" w:space="0" w:color="auto"/>
            </w:tcBorders>
            <w:shd w:val="clear" w:color="000000" w:fill="FFFFFF"/>
            <w:noWrap/>
            <w:vAlign w:val="center"/>
            <w:hideMark/>
          </w:tcPr>
          <w:p w14:paraId="286533AC"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5" w:type="pct"/>
            <w:tcBorders>
              <w:top w:val="nil"/>
              <w:left w:val="nil"/>
              <w:bottom w:val="single" w:sz="4" w:space="0" w:color="auto"/>
              <w:right w:val="single" w:sz="4" w:space="0" w:color="auto"/>
            </w:tcBorders>
            <w:shd w:val="clear" w:color="000000" w:fill="FFFFFF"/>
            <w:noWrap/>
            <w:vAlign w:val="center"/>
            <w:hideMark/>
          </w:tcPr>
          <w:p w14:paraId="4D7C2154"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2E17772C"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76" w:type="pct"/>
            <w:tcBorders>
              <w:top w:val="nil"/>
              <w:left w:val="nil"/>
              <w:bottom w:val="single" w:sz="4" w:space="0" w:color="auto"/>
              <w:right w:val="single" w:sz="4" w:space="0" w:color="auto"/>
            </w:tcBorders>
            <w:shd w:val="clear" w:color="000000" w:fill="FFFFFF"/>
            <w:noWrap/>
            <w:vAlign w:val="center"/>
            <w:hideMark/>
          </w:tcPr>
          <w:p w14:paraId="55439CC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3" w:type="pct"/>
            <w:tcBorders>
              <w:top w:val="nil"/>
              <w:left w:val="nil"/>
              <w:bottom w:val="single" w:sz="4" w:space="0" w:color="auto"/>
              <w:right w:val="single" w:sz="4" w:space="0" w:color="auto"/>
            </w:tcBorders>
            <w:shd w:val="clear" w:color="000000" w:fill="FFFFFF"/>
            <w:noWrap/>
            <w:vAlign w:val="center"/>
            <w:hideMark/>
          </w:tcPr>
          <w:p w14:paraId="1DE2C801"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76" w:type="pct"/>
            <w:tcBorders>
              <w:top w:val="nil"/>
              <w:left w:val="nil"/>
              <w:bottom w:val="single" w:sz="4" w:space="0" w:color="auto"/>
              <w:right w:val="single" w:sz="4" w:space="0" w:color="auto"/>
            </w:tcBorders>
            <w:shd w:val="clear" w:color="000000" w:fill="FFFFFF"/>
            <w:noWrap/>
            <w:vAlign w:val="center"/>
            <w:hideMark/>
          </w:tcPr>
          <w:p w14:paraId="201F80F1"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76" w:type="pct"/>
            <w:tcBorders>
              <w:top w:val="nil"/>
              <w:left w:val="nil"/>
              <w:bottom w:val="single" w:sz="4" w:space="0" w:color="auto"/>
              <w:right w:val="single" w:sz="4" w:space="0" w:color="auto"/>
            </w:tcBorders>
            <w:shd w:val="clear" w:color="000000" w:fill="FFFFFF"/>
            <w:noWrap/>
            <w:vAlign w:val="center"/>
            <w:hideMark/>
          </w:tcPr>
          <w:p w14:paraId="73A26854"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7" w:type="pct"/>
            <w:tcBorders>
              <w:top w:val="nil"/>
              <w:left w:val="nil"/>
              <w:bottom w:val="single" w:sz="4" w:space="0" w:color="auto"/>
              <w:right w:val="single" w:sz="4" w:space="0" w:color="auto"/>
            </w:tcBorders>
            <w:shd w:val="clear" w:color="000000" w:fill="FFFFFF"/>
            <w:noWrap/>
            <w:vAlign w:val="center"/>
            <w:hideMark/>
          </w:tcPr>
          <w:p w14:paraId="388942FF"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2" w:type="pct"/>
            <w:tcBorders>
              <w:top w:val="nil"/>
              <w:left w:val="nil"/>
              <w:bottom w:val="single" w:sz="4" w:space="0" w:color="auto"/>
              <w:right w:val="single" w:sz="4" w:space="0" w:color="auto"/>
            </w:tcBorders>
            <w:shd w:val="clear" w:color="000000" w:fill="FFFFFF"/>
            <w:noWrap/>
            <w:vAlign w:val="center"/>
            <w:hideMark/>
          </w:tcPr>
          <w:p w14:paraId="04DBFA72"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0" w:type="pct"/>
            <w:tcBorders>
              <w:top w:val="nil"/>
              <w:left w:val="nil"/>
              <w:bottom w:val="single" w:sz="4" w:space="0" w:color="auto"/>
              <w:right w:val="single" w:sz="4" w:space="0" w:color="auto"/>
            </w:tcBorders>
            <w:shd w:val="clear" w:color="000000" w:fill="FFFFFF"/>
            <w:noWrap/>
            <w:vAlign w:val="center"/>
            <w:hideMark/>
          </w:tcPr>
          <w:p w14:paraId="062397AC"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7" w:type="pct"/>
            <w:tcBorders>
              <w:top w:val="nil"/>
              <w:left w:val="nil"/>
              <w:bottom w:val="single" w:sz="4" w:space="0" w:color="auto"/>
              <w:right w:val="single" w:sz="4" w:space="0" w:color="auto"/>
            </w:tcBorders>
            <w:shd w:val="clear" w:color="000000" w:fill="FFFFFF"/>
            <w:noWrap/>
            <w:vAlign w:val="center"/>
            <w:hideMark/>
          </w:tcPr>
          <w:p w14:paraId="1E7E5410"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7" w:type="pct"/>
            <w:tcBorders>
              <w:top w:val="nil"/>
              <w:left w:val="nil"/>
              <w:bottom w:val="single" w:sz="4" w:space="0" w:color="auto"/>
              <w:right w:val="single" w:sz="4" w:space="0" w:color="auto"/>
            </w:tcBorders>
            <w:shd w:val="clear" w:color="000000" w:fill="FFFFFF"/>
            <w:noWrap/>
            <w:vAlign w:val="center"/>
            <w:hideMark/>
          </w:tcPr>
          <w:p w14:paraId="6F6BB497"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334" w:type="pct"/>
            <w:tcBorders>
              <w:top w:val="nil"/>
              <w:left w:val="nil"/>
              <w:bottom w:val="single" w:sz="4" w:space="0" w:color="auto"/>
              <w:right w:val="single" w:sz="4" w:space="0" w:color="auto"/>
            </w:tcBorders>
            <w:shd w:val="clear" w:color="000000" w:fill="FFFFFF"/>
            <w:noWrap/>
            <w:vAlign w:val="center"/>
            <w:hideMark/>
          </w:tcPr>
          <w:p w14:paraId="11FBE95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8" w:type="pct"/>
            <w:tcBorders>
              <w:top w:val="nil"/>
              <w:left w:val="nil"/>
              <w:bottom w:val="single" w:sz="4" w:space="0" w:color="auto"/>
              <w:right w:val="single" w:sz="4" w:space="0" w:color="auto"/>
            </w:tcBorders>
            <w:shd w:val="clear" w:color="000000" w:fill="FFFFFF"/>
            <w:noWrap/>
            <w:vAlign w:val="center"/>
            <w:hideMark/>
          </w:tcPr>
          <w:p w14:paraId="0833520D"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2" w:type="pct"/>
            <w:tcBorders>
              <w:top w:val="nil"/>
              <w:left w:val="nil"/>
              <w:bottom w:val="single" w:sz="4" w:space="0" w:color="auto"/>
              <w:right w:val="single" w:sz="4" w:space="0" w:color="auto"/>
            </w:tcBorders>
            <w:shd w:val="clear" w:color="000000" w:fill="FFFFFF"/>
            <w:noWrap/>
            <w:vAlign w:val="center"/>
            <w:hideMark/>
          </w:tcPr>
          <w:p w14:paraId="33DF6CF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1D648BC3"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4" w:type="pct"/>
            <w:tcBorders>
              <w:top w:val="nil"/>
              <w:left w:val="nil"/>
              <w:bottom w:val="single" w:sz="4" w:space="0" w:color="auto"/>
              <w:right w:val="single" w:sz="4" w:space="0" w:color="auto"/>
            </w:tcBorders>
            <w:shd w:val="clear" w:color="000000" w:fill="FFFFFF"/>
          </w:tcPr>
          <w:p w14:paraId="3552829F"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17/17</w:t>
            </w:r>
          </w:p>
        </w:tc>
      </w:tr>
      <w:tr w:rsidR="00EE4BF0" w:rsidRPr="008C0A90" w14:paraId="71BC53D0" w14:textId="77777777" w:rsidTr="007D1DAE">
        <w:trPr>
          <w:trHeight w:val="1621"/>
        </w:trPr>
        <w:tc>
          <w:tcPr>
            <w:tcW w:w="107" w:type="pct"/>
            <w:tcBorders>
              <w:top w:val="nil"/>
              <w:left w:val="single" w:sz="4" w:space="0" w:color="auto"/>
              <w:bottom w:val="single" w:sz="4" w:space="0" w:color="auto"/>
              <w:right w:val="single" w:sz="4" w:space="0" w:color="auto"/>
            </w:tcBorders>
            <w:shd w:val="clear" w:color="000000" w:fill="FFFFFF"/>
            <w:noWrap/>
            <w:vAlign w:val="center"/>
            <w:hideMark/>
          </w:tcPr>
          <w:p w14:paraId="2ABF4078"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lastRenderedPageBreak/>
              <w:t>8</w:t>
            </w:r>
          </w:p>
        </w:tc>
        <w:tc>
          <w:tcPr>
            <w:tcW w:w="883" w:type="pct"/>
            <w:tcBorders>
              <w:top w:val="nil"/>
              <w:left w:val="nil"/>
              <w:bottom w:val="single" w:sz="4" w:space="0" w:color="auto"/>
              <w:right w:val="single" w:sz="4" w:space="0" w:color="auto"/>
            </w:tcBorders>
            <w:shd w:val="clear" w:color="000000" w:fill="FFFFFF"/>
            <w:vAlign w:val="center"/>
            <w:hideMark/>
          </w:tcPr>
          <w:p w14:paraId="06190B3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Were the study groups selected so that comparison groups would be sufficiently similar to each other (e.g., either by rescriction or recruitment based on the same indications for treatment?)</w:t>
            </w:r>
          </w:p>
        </w:tc>
        <w:tc>
          <w:tcPr>
            <w:tcW w:w="183" w:type="pct"/>
            <w:tcBorders>
              <w:top w:val="nil"/>
              <w:left w:val="nil"/>
              <w:bottom w:val="single" w:sz="4" w:space="0" w:color="auto"/>
              <w:right w:val="single" w:sz="4" w:space="0" w:color="auto"/>
            </w:tcBorders>
            <w:shd w:val="clear" w:color="000000" w:fill="FFFFFF"/>
            <w:noWrap/>
            <w:vAlign w:val="center"/>
            <w:hideMark/>
          </w:tcPr>
          <w:p w14:paraId="09D12697"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5" w:type="pct"/>
            <w:tcBorders>
              <w:top w:val="nil"/>
              <w:left w:val="nil"/>
              <w:bottom w:val="single" w:sz="4" w:space="0" w:color="auto"/>
              <w:right w:val="single" w:sz="4" w:space="0" w:color="auto"/>
            </w:tcBorders>
            <w:shd w:val="clear" w:color="000000" w:fill="FFFFFF"/>
            <w:noWrap/>
            <w:vAlign w:val="center"/>
            <w:hideMark/>
          </w:tcPr>
          <w:p w14:paraId="37C212E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5" w:type="pct"/>
            <w:tcBorders>
              <w:top w:val="nil"/>
              <w:left w:val="nil"/>
              <w:bottom w:val="single" w:sz="4" w:space="0" w:color="auto"/>
              <w:right w:val="single" w:sz="4" w:space="0" w:color="auto"/>
            </w:tcBorders>
            <w:shd w:val="clear" w:color="000000" w:fill="FFFFFF"/>
            <w:noWrap/>
            <w:vAlign w:val="center"/>
            <w:hideMark/>
          </w:tcPr>
          <w:p w14:paraId="2B5BC332"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7A5C0D22"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76" w:type="pct"/>
            <w:tcBorders>
              <w:top w:val="nil"/>
              <w:left w:val="nil"/>
              <w:bottom w:val="single" w:sz="4" w:space="0" w:color="auto"/>
              <w:right w:val="single" w:sz="4" w:space="0" w:color="auto"/>
            </w:tcBorders>
            <w:shd w:val="clear" w:color="000000" w:fill="FFFFFF"/>
            <w:noWrap/>
            <w:vAlign w:val="center"/>
            <w:hideMark/>
          </w:tcPr>
          <w:p w14:paraId="3870C57E"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3" w:type="pct"/>
            <w:tcBorders>
              <w:top w:val="nil"/>
              <w:left w:val="nil"/>
              <w:bottom w:val="single" w:sz="4" w:space="0" w:color="auto"/>
              <w:right w:val="single" w:sz="4" w:space="0" w:color="auto"/>
            </w:tcBorders>
            <w:shd w:val="clear" w:color="000000" w:fill="FFFFFF"/>
            <w:noWrap/>
            <w:vAlign w:val="center"/>
            <w:hideMark/>
          </w:tcPr>
          <w:p w14:paraId="59553B3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76" w:type="pct"/>
            <w:tcBorders>
              <w:top w:val="nil"/>
              <w:left w:val="nil"/>
              <w:bottom w:val="single" w:sz="4" w:space="0" w:color="auto"/>
              <w:right w:val="single" w:sz="4" w:space="0" w:color="auto"/>
            </w:tcBorders>
            <w:shd w:val="clear" w:color="000000" w:fill="FFFFFF"/>
            <w:noWrap/>
            <w:vAlign w:val="center"/>
            <w:hideMark/>
          </w:tcPr>
          <w:p w14:paraId="35CE12B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76" w:type="pct"/>
            <w:tcBorders>
              <w:top w:val="nil"/>
              <w:left w:val="nil"/>
              <w:bottom w:val="single" w:sz="4" w:space="0" w:color="auto"/>
              <w:right w:val="single" w:sz="4" w:space="0" w:color="auto"/>
            </w:tcBorders>
            <w:shd w:val="clear" w:color="000000" w:fill="FFFFFF"/>
            <w:noWrap/>
            <w:vAlign w:val="center"/>
            <w:hideMark/>
          </w:tcPr>
          <w:p w14:paraId="3DB0A683"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7" w:type="pct"/>
            <w:tcBorders>
              <w:top w:val="nil"/>
              <w:left w:val="nil"/>
              <w:bottom w:val="single" w:sz="4" w:space="0" w:color="auto"/>
              <w:right w:val="single" w:sz="4" w:space="0" w:color="auto"/>
            </w:tcBorders>
            <w:shd w:val="clear" w:color="000000" w:fill="FFFFFF"/>
            <w:noWrap/>
            <w:vAlign w:val="center"/>
            <w:hideMark/>
          </w:tcPr>
          <w:p w14:paraId="3CF0B3A0"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2" w:type="pct"/>
            <w:tcBorders>
              <w:top w:val="nil"/>
              <w:left w:val="nil"/>
              <w:bottom w:val="single" w:sz="4" w:space="0" w:color="auto"/>
              <w:right w:val="single" w:sz="4" w:space="0" w:color="auto"/>
            </w:tcBorders>
            <w:shd w:val="clear" w:color="000000" w:fill="FFFFFF"/>
            <w:noWrap/>
            <w:vAlign w:val="center"/>
            <w:hideMark/>
          </w:tcPr>
          <w:p w14:paraId="7927D843"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0" w:type="pct"/>
            <w:tcBorders>
              <w:top w:val="nil"/>
              <w:left w:val="nil"/>
              <w:bottom w:val="single" w:sz="4" w:space="0" w:color="auto"/>
              <w:right w:val="single" w:sz="4" w:space="0" w:color="auto"/>
            </w:tcBorders>
            <w:shd w:val="clear" w:color="000000" w:fill="FFFFFF"/>
            <w:noWrap/>
            <w:vAlign w:val="center"/>
            <w:hideMark/>
          </w:tcPr>
          <w:p w14:paraId="08A08C10"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7" w:type="pct"/>
            <w:tcBorders>
              <w:top w:val="nil"/>
              <w:left w:val="nil"/>
              <w:bottom w:val="single" w:sz="4" w:space="0" w:color="auto"/>
              <w:right w:val="single" w:sz="4" w:space="0" w:color="auto"/>
            </w:tcBorders>
            <w:shd w:val="clear" w:color="000000" w:fill="FFFFFF"/>
            <w:noWrap/>
            <w:vAlign w:val="center"/>
            <w:hideMark/>
          </w:tcPr>
          <w:p w14:paraId="1229EFE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7" w:type="pct"/>
            <w:tcBorders>
              <w:top w:val="nil"/>
              <w:left w:val="nil"/>
              <w:bottom w:val="single" w:sz="4" w:space="0" w:color="auto"/>
              <w:right w:val="single" w:sz="4" w:space="0" w:color="auto"/>
            </w:tcBorders>
            <w:shd w:val="clear" w:color="000000" w:fill="FFFFFF"/>
            <w:noWrap/>
            <w:vAlign w:val="center"/>
            <w:hideMark/>
          </w:tcPr>
          <w:p w14:paraId="6DE4F2DD"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334" w:type="pct"/>
            <w:tcBorders>
              <w:top w:val="nil"/>
              <w:left w:val="nil"/>
              <w:bottom w:val="single" w:sz="4" w:space="0" w:color="auto"/>
              <w:right w:val="single" w:sz="4" w:space="0" w:color="auto"/>
            </w:tcBorders>
            <w:shd w:val="clear" w:color="000000" w:fill="FFFFFF"/>
            <w:noWrap/>
            <w:vAlign w:val="center"/>
            <w:hideMark/>
          </w:tcPr>
          <w:p w14:paraId="0345FDD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198" w:type="pct"/>
            <w:tcBorders>
              <w:top w:val="nil"/>
              <w:left w:val="nil"/>
              <w:bottom w:val="single" w:sz="4" w:space="0" w:color="auto"/>
              <w:right w:val="single" w:sz="4" w:space="0" w:color="auto"/>
            </w:tcBorders>
            <w:shd w:val="clear" w:color="000000" w:fill="FFFFFF"/>
            <w:noWrap/>
            <w:vAlign w:val="center"/>
            <w:hideMark/>
          </w:tcPr>
          <w:p w14:paraId="2F284786"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32" w:type="pct"/>
            <w:tcBorders>
              <w:top w:val="nil"/>
              <w:left w:val="nil"/>
              <w:bottom w:val="single" w:sz="4" w:space="0" w:color="auto"/>
              <w:right w:val="single" w:sz="4" w:space="0" w:color="auto"/>
            </w:tcBorders>
            <w:shd w:val="clear" w:color="000000" w:fill="FFFFFF"/>
            <w:noWrap/>
            <w:vAlign w:val="center"/>
            <w:hideMark/>
          </w:tcPr>
          <w:p w14:paraId="374CA36B"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12261225"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w:t>
            </w:r>
          </w:p>
        </w:tc>
        <w:tc>
          <w:tcPr>
            <w:tcW w:w="264" w:type="pct"/>
            <w:tcBorders>
              <w:top w:val="nil"/>
              <w:left w:val="nil"/>
              <w:bottom w:val="single" w:sz="4" w:space="0" w:color="auto"/>
              <w:right w:val="single" w:sz="4" w:space="0" w:color="auto"/>
            </w:tcBorders>
            <w:shd w:val="clear" w:color="000000" w:fill="FFFFFF"/>
          </w:tcPr>
          <w:p w14:paraId="5992D9DA" w14:textId="77777777" w:rsidR="00EE4BF0" w:rsidRPr="008C0A90" w:rsidRDefault="00EE4BF0" w:rsidP="007D1DAE">
            <w:pPr>
              <w:spacing w:after="0" w:line="480" w:lineRule="auto"/>
              <w:jc w:val="center"/>
              <w:rPr>
                <w:rFonts w:ascii="Times New Roman" w:eastAsia="Times New Roman" w:hAnsi="Times New Roman"/>
                <w:color w:val="000000"/>
                <w:sz w:val="20"/>
                <w:szCs w:val="20"/>
                <w:lang w:val="en-US" w:eastAsia="fr-FR"/>
              </w:rPr>
            </w:pPr>
            <w:r w:rsidRPr="008C0A90">
              <w:rPr>
                <w:rFonts w:ascii="Times New Roman" w:eastAsia="Times New Roman" w:hAnsi="Times New Roman"/>
                <w:color w:val="000000"/>
                <w:sz w:val="20"/>
                <w:szCs w:val="20"/>
                <w:lang w:val="en-US" w:eastAsia="fr-FR"/>
              </w:rPr>
              <w:t>17/17</w:t>
            </w:r>
          </w:p>
        </w:tc>
      </w:tr>
      <w:tr w:rsidR="00EE4BF0" w:rsidRPr="00646ABB" w14:paraId="35FD896F" w14:textId="77777777" w:rsidTr="007D1DAE">
        <w:trPr>
          <w:trHeight w:val="880"/>
        </w:trPr>
        <w:tc>
          <w:tcPr>
            <w:tcW w:w="4736" w:type="pct"/>
            <w:gridSpan w:val="19"/>
            <w:tcBorders>
              <w:top w:val="single" w:sz="4" w:space="0" w:color="auto"/>
              <w:left w:val="single" w:sz="4" w:space="0" w:color="auto"/>
              <w:bottom w:val="single" w:sz="4" w:space="0" w:color="auto"/>
              <w:right w:val="single" w:sz="4" w:space="0" w:color="auto"/>
            </w:tcBorders>
            <w:shd w:val="clear" w:color="000000" w:fill="FFFFFF"/>
            <w:noWrap/>
          </w:tcPr>
          <w:p w14:paraId="60E847AC"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Notes: questions from the grid assessing the credibility of observational studies (Berger et al. (2014)).</w:t>
            </w:r>
          </w:p>
          <w:p w14:paraId="4A128E17"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r>
              <w:rPr>
                <w:rFonts w:ascii="Times New Roman" w:eastAsia="Times New Roman" w:hAnsi="Times New Roman"/>
                <w:color w:val="000000"/>
                <w:sz w:val="20"/>
                <w:szCs w:val="20"/>
                <w:lang w:val="en-US" w:eastAsia="fr-FR"/>
              </w:rPr>
              <w:t xml:space="preserve">0 = quality item not fulfilled in the paper. 1 = quality item fulfilled in the paper. </w:t>
            </w:r>
            <w:r w:rsidRPr="00E85D55">
              <w:rPr>
                <w:rFonts w:ascii="Times New Roman" w:eastAsia="Times New Roman" w:hAnsi="Times New Roman"/>
                <w:color w:val="000000"/>
                <w:sz w:val="20"/>
                <w:szCs w:val="20"/>
                <w:lang w:val="en-US" w:eastAsia="fr-FR"/>
              </w:rPr>
              <w:t xml:space="preserve">“NA” stands for “not available”. </w:t>
            </w:r>
          </w:p>
          <w:p w14:paraId="44E1E4D1" w14:textId="77777777" w:rsidR="00EE4BF0" w:rsidRDefault="00EE4BF0" w:rsidP="007D1DAE">
            <w:pPr>
              <w:spacing w:after="0" w:line="480" w:lineRule="auto"/>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vertAlign w:val="superscript"/>
                <w:lang w:val="en-US" w:eastAsia="fr-FR"/>
              </w:rPr>
              <w:t>a</w:t>
            </w:r>
            <w:r w:rsidRPr="00E85D55">
              <w:rPr>
                <w:rFonts w:ascii="Times New Roman" w:eastAsia="Times New Roman" w:hAnsi="Times New Roman"/>
                <w:color w:val="000000"/>
                <w:sz w:val="20"/>
                <w:szCs w:val="20"/>
                <w:lang w:val="en-US" w:eastAsia="fr-FR"/>
              </w:rPr>
              <w:t xml:space="preserve"> : 8 items are included in the Design section but two of them are systematically not available in our studies.</w:t>
            </w:r>
          </w:p>
          <w:p w14:paraId="29140550"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p w14:paraId="001C8A4F"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tc>
        <w:tc>
          <w:tcPr>
            <w:tcW w:w="264" w:type="pct"/>
            <w:tcBorders>
              <w:top w:val="single" w:sz="4" w:space="0" w:color="auto"/>
              <w:left w:val="single" w:sz="4" w:space="0" w:color="auto"/>
              <w:bottom w:val="single" w:sz="4" w:space="0" w:color="auto"/>
              <w:right w:val="single" w:sz="4" w:space="0" w:color="auto"/>
            </w:tcBorders>
            <w:shd w:val="clear" w:color="000000" w:fill="FFFFFF"/>
          </w:tcPr>
          <w:p w14:paraId="61F2ADAC"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tc>
      </w:tr>
    </w:tbl>
    <w:p w14:paraId="5A8E4967" w14:textId="77777777" w:rsidR="00EE4BF0" w:rsidRDefault="00EE4BF0" w:rsidP="00EE4BF0">
      <w:pPr>
        <w:spacing w:after="0" w:line="480" w:lineRule="auto"/>
        <w:jc w:val="both"/>
        <w:rPr>
          <w:rFonts w:ascii="Times New Roman" w:hAnsi="Times New Roman"/>
          <w:i/>
          <w:sz w:val="20"/>
          <w:szCs w:val="20"/>
          <w:lang w:val="en-US"/>
        </w:rPr>
      </w:pPr>
    </w:p>
    <w:p w14:paraId="1FA2EBB5" w14:textId="77777777" w:rsidR="00EE4BF0" w:rsidRDefault="00EE4BF0" w:rsidP="00EE4BF0">
      <w:pPr>
        <w:spacing w:after="0" w:line="240" w:lineRule="auto"/>
        <w:rPr>
          <w:rFonts w:ascii="Times New Roman" w:hAnsi="Times New Roman"/>
          <w:i/>
          <w:sz w:val="20"/>
          <w:szCs w:val="20"/>
          <w:lang w:val="en-US"/>
        </w:rPr>
      </w:pPr>
      <w:r>
        <w:rPr>
          <w:rFonts w:ascii="Times New Roman" w:hAnsi="Times New Roman"/>
          <w:i/>
          <w:sz w:val="20"/>
          <w:szCs w:val="20"/>
          <w:lang w:val="en-US"/>
        </w:rPr>
        <w:br w:type="page"/>
      </w:r>
    </w:p>
    <w:p w14:paraId="483938D3" w14:textId="77777777" w:rsidR="00EE4BF0" w:rsidRPr="00E85D55" w:rsidRDefault="00EE4BF0" w:rsidP="00EE4BF0">
      <w:pPr>
        <w:spacing w:after="0" w:line="480" w:lineRule="auto"/>
        <w:jc w:val="both"/>
        <w:rPr>
          <w:rFonts w:ascii="Times New Roman" w:hAnsi="Times New Roman"/>
          <w:i/>
          <w:sz w:val="20"/>
          <w:szCs w:val="20"/>
          <w:lang w:val="en-US"/>
        </w:rPr>
      </w:pPr>
    </w:p>
    <w:tbl>
      <w:tblPr>
        <w:tblW w:w="5187" w:type="pct"/>
        <w:tblInd w:w="-530" w:type="dxa"/>
        <w:tblCellMar>
          <w:left w:w="70" w:type="dxa"/>
          <w:right w:w="70" w:type="dxa"/>
        </w:tblCellMar>
        <w:tblLook w:val="04A0" w:firstRow="1" w:lastRow="0" w:firstColumn="1" w:lastColumn="0" w:noHBand="0" w:noVBand="1"/>
      </w:tblPr>
      <w:tblGrid>
        <w:gridCol w:w="306"/>
        <w:gridCol w:w="2561"/>
        <w:gridCol w:w="528"/>
        <w:gridCol w:w="563"/>
        <w:gridCol w:w="563"/>
        <w:gridCol w:w="661"/>
        <w:gridCol w:w="505"/>
        <w:gridCol w:w="557"/>
        <w:gridCol w:w="505"/>
        <w:gridCol w:w="505"/>
        <w:gridCol w:w="568"/>
        <w:gridCol w:w="670"/>
        <w:gridCol w:w="664"/>
        <w:gridCol w:w="772"/>
        <w:gridCol w:w="772"/>
        <w:gridCol w:w="967"/>
        <w:gridCol w:w="571"/>
        <w:gridCol w:w="670"/>
        <w:gridCol w:w="769"/>
        <w:gridCol w:w="851"/>
      </w:tblGrid>
      <w:tr w:rsidR="00EE4BF0" w:rsidRPr="00646ABB" w14:paraId="4E661656" w14:textId="77777777" w:rsidTr="007D1DAE">
        <w:trPr>
          <w:trHeight w:val="270"/>
        </w:trPr>
        <w:tc>
          <w:tcPr>
            <w:tcW w:w="4710" w:type="pct"/>
            <w:gridSpan w:val="19"/>
            <w:shd w:val="clear" w:color="000000" w:fill="FFFFFF"/>
            <w:noWrap/>
            <w:vAlign w:val="center"/>
          </w:tcPr>
          <w:p w14:paraId="5645C7B9" w14:textId="77777777" w:rsidR="00EE4BF0" w:rsidRPr="00397FD3" w:rsidRDefault="00EE4BF0" w:rsidP="007D1DAE">
            <w:pPr>
              <w:spacing w:after="0" w:line="480" w:lineRule="auto"/>
              <w:jc w:val="center"/>
              <w:rPr>
                <w:rFonts w:ascii="Times New Roman" w:eastAsia="Times New Roman" w:hAnsi="Times New Roman"/>
                <w:color w:val="000000"/>
                <w:u w:val="single"/>
                <w:lang w:val="en-US" w:eastAsia="fr-FR"/>
              </w:rPr>
            </w:pPr>
            <w:r w:rsidRPr="00397FD3">
              <w:rPr>
                <w:rFonts w:ascii="Times New Roman" w:eastAsia="Times New Roman" w:hAnsi="Times New Roman"/>
                <w:color w:val="000000"/>
                <w:u w:val="single"/>
                <w:lang w:val="en-US" w:eastAsia="fr-FR"/>
              </w:rPr>
              <w:t xml:space="preserve">Table A.3..2 : assessment of credibility with respect to the </w:t>
            </w:r>
            <w:r w:rsidRPr="00397FD3">
              <w:rPr>
                <w:rFonts w:ascii="Times New Roman" w:eastAsia="Times New Roman" w:hAnsi="Times New Roman"/>
                <w:i/>
                <w:color w:val="000000"/>
                <w:u w:val="single"/>
                <w:lang w:val="en-US" w:eastAsia="fr-FR"/>
              </w:rPr>
              <w:t>data</w:t>
            </w:r>
            <w:r w:rsidRPr="00397FD3">
              <w:rPr>
                <w:rFonts w:ascii="Times New Roman" w:eastAsia="Times New Roman" w:hAnsi="Times New Roman"/>
                <w:color w:val="000000"/>
                <w:u w:val="single"/>
                <w:lang w:val="en-US" w:eastAsia="fr-FR"/>
              </w:rPr>
              <w:t xml:space="preserve"> domain</w:t>
            </w:r>
          </w:p>
          <w:p w14:paraId="4E0BF293" w14:textId="77777777" w:rsidR="00EE4BF0" w:rsidRPr="00E85D55" w:rsidRDefault="00EE4BF0" w:rsidP="007D1DAE">
            <w:pPr>
              <w:spacing w:after="0" w:line="480" w:lineRule="auto"/>
              <w:jc w:val="center"/>
              <w:rPr>
                <w:rFonts w:ascii="Times New Roman" w:eastAsia="Times New Roman" w:hAnsi="Times New Roman"/>
                <w:color w:val="000000"/>
                <w:sz w:val="20"/>
                <w:szCs w:val="20"/>
                <w:u w:val="single"/>
                <w:lang w:val="en-US" w:eastAsia="fr-FR"/>
              </w:rPr>
            </w:pPr>
          </w:p>
        </w:tc>
        <w:tc>
          <w:tcPr>
            <w:tcW w:w="290" w:type="pct"/>
            <w:shd w:val="clear" w:color="000000" w:fill="FFFFFF"/>
          </w:tcPr>
          <w:p w14:paraId="3B65E099" w14:textId="77777777" w:rsidR="00EE4BF0" w:rsidRPr="00E85D55" w:rsidRDefault="00EE4BF0" w:rsidP="007D1DAE">
            <w:pPr>
              <w:spacing w:after="0" w:line="480" w:lineRule="auto"/>
              <w:jc w:val="center"/>
              <w:rPr>
                <w:rFonts w:ascii="Times New Roman" w:eastAsia="Times New Roman" w:hAnsi="Times New Roman"/>
                <w:color w:val="000000"/>
                <w:sz w:val="20"/>
                <w:szCs w:val="20"/>
                <w:u w:val="single"/>
                <w:lang w:val="en-US" w:eastAsia="fr-FR"/>
              </w:rPr>
            </w:pPr>
          </w:p>
        </w:tc>
      </w:tr>
      <w:tr w:rsidR="00EE4BF0" w:rsidRPr="00E85D55" w14:paraId="560D2959" w14:textId="77777777" w:rsidTr="007D1DAE">
        <w:trPr>
          <w:trHeight w:val="270"/>
        </w:trPr>
        <w:tc>
          <w:tcPr>
            <w:tcW w:w="106" w:type="pct"/>
            <w:vMerge w:val="restart"/>
            <w:tcBorders>
              <w:top w:val="single" w:sz="4" w:space="0" w:color="auto"/>
              <w:left w:val="single" w:sz="4" w:space="0" w:color="auto"/>
              <w:right w:val="single" w:sz="4" w:space="0" w:color="auto"/>
            </w:tcBorders>
            <w:shd w:val="clear" w:color="000000" w:fill="FFFFFF"/>
            <w:noWrap/>
            <w:vAlign w:val="center"/>
            <w:hideMark/>
          </w:tcPr>
          <w:p w14:paraId="3D73C965"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 </w:t>
            </w:r>
          </w:p>
          <w:p w14:paraId="1E01ED9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 </w:t>
            </w:r>
          </w:p>
        </w:tc>
        <w:tc>
          <w:tcPr>
            <w:tcW w:w="88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B04F27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Question</w:t>
            </w:r>
          </w:p>
        </w:tc>
        <w:tc>
          <w:tcPr>
            <w:tcW w:w="182" w:type="pct"/>
            <w:tcBorders>
              <w:top w:val="single" w:sz="4" w:space="0" w:color="auto"/>
              <w:left w:val="nil"/>
              <w:bottom w:val="single" w:sz="4" w:space="0" w:color="auto"/>
              <w:right w:val="single" w:sz="4" w:space="0" w:color="auto"/>
            </w:tcBorders>
            <w:shd w:val="clear" w:color="000000" w:fill="FFFFFF"/>
            <w:vAlign w:val="center"/>
            <w:hideMark/>
          </w:tcPr>
          <w:p w14:paraId="17D721B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w:t>
            </w:r>
          </w:p>
        </w:tc>
        <w:tc>
          <w:tcPr>
            <w:tcW w:w="194" w:type="pct"/>
            <w:tcBorders>
              <w:top w:val="single" w:sz="4" w:space="0" w:color="auto"/>
              <w:left w:val="nil"/>
              <w:bottom w:val="single" w:sz="4" w:space="0" w:color="auto"/>
              <w:right w:val="single" w:sz="4" w:space="0" w:color="auto"/>
            </w:tcBorders>
            <w:shd w:val="clear" w:color="000000" w:fill="FFFFFF"/>
            <w:vAlign w:val="center"/>
            <w:hideMark/>
          </w:tcPr>
          <w:p w14:paraId="33362D5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2</w:t>
            </w:r>
          </w:p>
        </w:tc>
        <w:tc>
          <w:tcPr>
            <w:tcW w:w="194" w:type="pct"/>
            <w:tcBorders>
              <w:top w:val="single" w:sz="4" w:space="0" w:color="auto"/>
              <w:left w:val="nil"/>
              <w:bottom w:val="single" w:sz="4" w:space="0" w:color="auto"/>
              <w:right w:val="single" w:sz="4" w:space="0" w:color="auto"/>
            </w:tcBorders>
            <w:shd w:val="clear" w:color="000000" w:fill="FFFFFF"/>
            <w:vAlign w:val="center"/>
            <w:hideMark/>
          </w:tcPr>
          <w:p w14:paraId="40757E9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3</w:t>
            </w:r>
          </w:p>
        </w:tc>
        <w:tc>
          <w:tcPr>
            <w:tcW w:w="228" w:type="pct"/>
            <w:tcBorders>
              <w:top w:val="single" w:sz="4" w:space="0" w:color="auto"/>
              <w:left w:val="nil"/>
              <w:bottom w:val="single" w:sz="4" w:space="0" w:color="auto"/>
              <w:right w:val="single" w:sz="4" w:space="0" w:color="auto"/>
            </w:tcBorders>
            <w:shd w:val="clear" w:color="000000" w:fill="FFFFFF"/>
            <w:vAlign w:val="center"/>
            <w:hideMark/>
          </w:tcPr>
          <w:p w14:paraId="7685BAC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4</w:t>
            </w:r>
          </w:p>
        </w:tc>
        <w:tc>
          <w:tcPr>
            <w:tcW w:w="174" w:type="pct"/>
            <w:tcBorders>
              <w:top w:val="single" w:sz="4" w:space="0" w:color="auto"/>
              <w:left w:val="nil"/>
              <w:bottom w:val="single" w:sz="4" w:space="0" w:color="auto"/>
              <w:right w:val="single" w:sz="4" w:space="0" w:color="auto"/>
            </w:tcBorders>
            <w:shd w:val="clear" w:color="000000" w:fill="FFFFFF"/>
            <w:vAlign w:val="center"/>
            <w:hideMark/>
          </w:tcPr>
          <w:p w14:paraId="035C057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5</w:t>
            </w:r>
          </w:p>
        </w:tc>
        <w:tc>
          <w:tcPr>
            <w:tcW w:w="192" w:type="pct"/>
            <w:tcBorders>
              <w:top w:val="single" w:sz="4" w:space="0" w:color="auto"/>
              <w:left w:val="nil"/>
              <w:bottom w:val="single" w:sz="4" w:space="0" w:color="auto"/>
              <w:right w:val="single" w:sz="4" w:space="0" w:color="auto"/>
            </w:tcBorders>
            <w:shd w:val="clear" w:color="000000" w:fill="FFFFFF"/>
            <w:vAlign w:val="center"/>
            <w:hideMark/>
          </w:tcPr>
          <w:p w14:paraId="7C49981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6</w:t>
            </w:r>
          </w:p>
        </w:tc>
        <w:tc>
          <w:tcPr>
            <w:tcW w:w="174" w:type="pct"/>
            <w:tcBorders>
              <w:top w:val="single" w:sz="4" w:space="0" w:color="auto"/>
              <w:left w:val="nil"/>
              <w:bottom w:val="single" w:sz="4" w:space="0" w:color="auto"/>
              <w:right w:val="single" w:sz="4" w:space="0" w:color="auto"/>
            </w:tcBorders>
            <w:shd w:val="clear" w:color="000000" w:fill="FFFFFF"/>
            <w:vAlign w:val="center"/>
            <w:hideMark/>
          </w:tcPr>
          <w:p w14:paraId="2E5C949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7</w:t>
            </w:r>
          </w:p>
        </w:tc>
        <w:tc>
          <w:tcPr>
            <w:tcW w:w="174" w:type="pct"/>
            <w:tcBorders>
              <w:top w:val="single" w:sz="4" w:space="0" w:color="auto"/>
              <w:left w:val="nil"/>
              <w:bottom w:val="single" w:sz="4" w:space="0" w:color="auto"/>
              <w:right w:val="single" w:sz="4" w:space="0" w:color="auto"/>
            </w:tcBorders>
            <w:shd w:val="clear" w:color="000000" w:fill="FFFFFF"/>
            <w:vAlign w:val="center"/>
            <w:hideMark/>
          </w:tcPr>
          <w:p w14:paraId="30BDC7A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8</w:t>
            </w:r>
          </w:p>
        </w:tc>
        <w:tc>
          <w:tcPr>
            <w:tcW w:w="196" w:type="pct"/>
            <w:tcBorders>
              <w:top w:val="single" w:sz="4" w:space="0" w:color="auto"/>
              <w:left w:val="nil"/>
              <w:bottom w:val="single" w:sz="4" w:space="0" w:color="auto"/>
              <w:right w:val="single" w:sz="4" w:space="0" w:color="auto"/>
            </w:tcBorders>
            <w:shd w:val="clear" w:color="000000" w:fill="FFFFFF"/>
            <w:vAlign w:val="center"/>
            <w:hideMark/>
          </w:tcPr>
          <w:p w14:paraId="7BA197E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9</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14:paraId="014E50C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10</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14:paraId="347D37C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11</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14:paraId="42D2DA6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12</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14:paraId="2E11EE2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13</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14:paraId="00EA6E5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14</w:t>
            </w:r>
          </w:p>
        </w:tc>
        <w:tc>
          <w:tcPr>
            <w:tcW w:w="197" w:type="pct"/>
            <w:tcBorders>
              <w:top w:val="single" w:sz="4" w:space="0" w:color="auto"/>
              <w:left w:val="nil"/>
              <w:bottom w:val="single" w:sz="4" w:space="0" w:color="auto"/>
              <w:right w:val="single" w:sz="4" w:space="0" w:color="auto"/>
            </w:tcBorders>
            <w:shd w:val="clear" w:color="000000" w:fill="FFFFFF"/>
            <w:vAlign w:val="center"/>
            <w:hideMark/>
          </w:tcPr>
          <w:p w14:paraId="3C98CCF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15</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14:paraId="4CFBD7C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16</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14:paraId="7491CD7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17</w:t>
            </w:r>
          </w:p>
        </w:tc>
        <w:tc>
          <w:tcPr>
            <w:tcW w:w="290" w:type="pct"/>
            <w:tcBorders>
              <w:top w:val="single" w:sz="4" w:space="0" w:color="auto"/>
              <w:left w:val="nil"/>
              <w:bottom w:val="single" w:sz="4" w:space="0" w:color="auto"/>
              <w:right w:val="single" w:sz="4" w:space="0" w:color="auto"/>
            </w:tcBorders>
            <w:shd w:val="clear" w:color="000000" w:fill="FFFFFF"/>
          </w:tcPr>
          <w:p w14:paraId="18858A0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p>
        </w:tc>
      </w:tr>
      <w:tr w:rsidR="00EE4BF0" w:rsidRPr="00E85D55" w14:paraId="30058710" w14:textId="77777777" w:rsidTr="007D1DAE">
        <w:trPr>
          <w:cantSplit/>
          <w:trHeight w:val="1201"/>
        </w:trPr>
        <w:tc>
          <w:tcPr>
            <w:tcW w:w="106" w:type="pct"/>
            <w:vMerge/>
            <w:tcBorders>
              <w:left w:val="single" w:sz="4" w:space="0" w:color="auto"/>
              <w:bottom w:val="single" w:sz="4" w:space="0" w:color="auto"/>
              <w:right w:val="single" w:sz="4" w:space="0" w:color="auto"/>
            </w:tcBorders>
            <w:shd w:val="clear" w:color="000000" w:fill="FFFFFF"/>
            <w:noWrap/>
            <w:vAlign w:val="center"/>
            <w:hideMark/>
          </w:tcPr>
          <w:p w14:paraId="51F8305F"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p>
        </w:tc>
        <w:tc>
          <w:tcPr>
            <w:tcW w:w="882" w:type="pct"/>
            <w:vMerge/>
            <w:tcBorders>
              <w:top w:val="single" w:sz="4" w:space="0" w:color="auto"/>
              <w:left w:val="single" w:sz="4" w:space="0" w:color="auto"/>
              <w:bottom w:val="single" w:sz="4" w:space="0" w:color="000000"/>
              <w:right w:val="single" w:sz="4" w:space="0" w:color="auto"/>
            </w:tcBorders>
            <w:vAlign w:val="center"/>
            <w:hideMark/>
          </w:tcPr>
          <w:p w14:paraId="39647BB6" w14:textId="77777777" w:rsidR="00EE4BF0" w:rsidRPr="00E85D55" w:rsidRDefault="00EE4BF0" w:rsidP="007D1DAE">
            <w:pPr>
              <w:spacing w:after="0" w:line="480" w:lineRule="auto"/>
              <w:rPr>
                <w:rFonts w:ascii="Times New Roman" w:eastAsia="Times New Roman" w:hAnsi="Times New Roman"/>
                <w:color w:val="000000"/>
                <w:sz w:val="20"/>
                <w:szCs w:val="20"/>
                <w:lang w:eastAsia="fr-FR"/>
              </w:rPr>
            </w:pPr>
          </w:p>
        </w:tc>
        <w:tc>
          <w:tcPr>
            <w:tcW w:w="182" w:type="pct"/>
            <w:tcBorders>
              <w:top w:val="nil"/>
              <w:left w:val="nil"/>
              <w:bottom w:val="single" w:sz="4" w:space="0" w:color="auto"/>
              <w:right w:val="single" w:sz="4" w:space="0" w:color="auto"/>
            </w:tcBorders>
            <w:shd w:val="clear" w:color="000000" w:fill="FFFFFF"/>
            <w:textDirection w:val="btLr"/>
            <w:vAlign w:val="center"/>
            <w:hideMark/>
          </w:tcPr>
          <w:p w14:paraId="5EEACEBB"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Rothman </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(2008)</w:t>
            </w:r>
          </w:p>
        </w:tc>
        <w:tc>
          <w:tcPr>
            <w:tcW w:w="194" w:type="pct"/>
            <w:tcBorders>
              <w:top w:val="nil"/>
              <w:left w:val="nil"/>
              <w:bottom w:val="single" w:sz="4" w:space="0" w:color="auto"/>
              <w:right w:val="single" w:sz="4" w:space="0" w:color="auto"/>
            </w:tcBorders>
            <w:shd w:val="clear" w:color="000000" w:fill="FFFFFF"/>
            <w:textDirection w:val="btLr"/>
            <w:vAlign w:val="center"/>
            <w:hideMark/>
          </w:tcPr>
          <w:p w14:paraId="7109BF10"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Rochat</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(2010)</w:t>
            </w:r>
          </w:p>
        </w:tc>
        <w:tc>
          <w:tcPr>
            <w:tcW w:w="194" w:type="pct"/>
            <w:tcBorders>
              <w:top w:val="nil"/>
              <w:left w:val="nil"/>
              <w:bottom w:val="single" w:sz="4" w:space="0" w:color="auto"/>
              <w:right w:val="single" w:sz="4" w:space="0" w:color="auto"/>
            </w:tcBorders>
            <w:shd w:val="clear" w:color="000000" w:fill="FFFFFF"/>
            <w:textDirection w:val="btLr"/>
            <w:vAlign w:val="center"/>
            <w:hideMark/>
          </w:tcPr>
          <w:p w14:paraId="1DF3AE91"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Gobbens </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14:paraId="287CBDEE"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Hoeck</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174" w:type="pct"/>
            <w:tcBorders>
              <w:top w:val="nil"/>
              <w:left w:val="nil"/>
              <w:bottom w:val="single" w:sz="4" w:space="0" w:color="auto"/>
              <w:right w:val="single" w:sz="4" w:space="0" w:color="auto"/>
            </w:tcBorders>
            <w:shd w:val="clear" w:color="000000" w:fill="FFFFFF"/>
            <w:textDirection w:val="btLr"/>
            <w:vAlign w:val="center"/>
            <w:hideMark/>
          </w:tcPr>
          <w:p w14:paraId="548F115A"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Hogan</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192" w:type="pct"/>
            <w:tcBorders>
              <w:top w:val="nil"/>
              <w:left w:val="nil"/>
              <w:bottom w:val="single" w:sz="4" w:space="0" w:color="auto"/>
              <w:right w:val="single" w:sz="4" w:space="0" w:color="auto"/>
            </w:tcBorders>
            <w:shd w:val="clear" w:color="000000" w:fill="FFFFFF"/>
            <w:textDirection w:val="btLr"/>
            <w:vAlign w:val="center"/>
            <w:hideMark/>
          </w:tcPr>
          <w:p w14:paraId="0F9984E3"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Schoufour</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(2014)</w:t>
            </w:r>
          </w:p>
        </w:tc>
        <w:tc>
          <w:tcPr>
            <w:tcW w:w="174" w:type="pct"/>
            <w:tcBorders>
              <w:top w:val="nil"/>
              <w:left w:val="nil"/>
              <w:bottom w:val="single" w:sz="4" w:space="0" w:color="auto"/>
              <w:right w:val="single" w:sz="4" w:space="0" w:color="auto"/>
            </w:tcBorders>
            <w:shd w:val="clear" w:color="000000" w:fill="FFFFFF"/>
            <w:textDirection w:val="btLr"/>
            <w:vAlign w:val="center"/>
            <w:hideMark/>
          </w:tcPr>
          <w:p w14:paraId="0F8BAE1E"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Hirani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(2015)</w:t>
            </w:r>
          </w:p>
        </w:tc>
        <w:tc>
          <w:tcPr>
            <w:tcW w:w="174" w:type="pct"/>
            <w:tcBorders>
              <w:top w:val="nil"/>
              <w:left w:val="nil"/>
              <w:bottom w:val="single" w:sz="4" w:space="0" w:color="auto"/>
              <w:right w:val="single" w:sz="4" w:space="0" w:color="auto"/>
            </w:tcBorders>
            <w:shd w:val="clear" w:color="000000" w:fill="FFFFFF"/>
            <w:textDirection w:val="btLr"/>
            <w:vAlign w:val="center"/>
            <w:hideMark/>
          </w:tcPr>
          <w:p w14:paraId="7CA36A78"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Bentur</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196" w:type="pct"/>
            <w:tcBorders>
              <w:top w:val="nil"/>
              <w:left w:val="nil"/>
              <w:bottom w:val="single" w:sz="4" w:space="0" w:color="auto"/>
              <w:right w:val="single" w:sz="4" w:space="0" w:color="auto"/>
            </w:tcBorders>
            <w:shd w:val="clear" w:color="000000" w:fill="FFFFFF"/>
            <w:textDirection w:val="btLr"/>
            <w:vAlign w:val="center"/>
            <w:hideMark/>
          </w:tcPr>
          <w:p w14:paraId="243878EE"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Bock</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31" w:type="pct"/>
            <w:tcBorders>
              <w:top w:val="nil"/>
              <w:left w:val="nil"/>
              <w:bottom w:val="single" w:sz="4" w:space="0" w:color="auto"/>
              <w:right w:val="single" w:sz="4" w:space="0" w:color="auto"/>
            </w:tcBorders>
            <w:shd w:val="clear" w:color="000000" w:fill="FFFFFF"/>
            <w:textDirection w:val="btLr"/>
            <w:vAlign w:val="center"/>
            <w:hideMark/>
          </w:tcPr>
          <w:p w14:paraId="2583F557"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Butler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eastAsia="fr-FR"/>
              </w:rPr>
              <w:t xml:space="preserve"> (2016)</w:t>
            </w:r>
          </w:p>
        </w:tc>
        <w:tc>
          <w:tcPr>
            <w:tcW w:w="229" w:type="pct"/>
            <w:tcBorders>
              <w:top w:val="nil"/>
              <w:left w:val="nil"/>
              <w:bottom w:val="single" w:sz="4" w:space="0" w:color="auto"/>
              <w:right w:val="single" w:sz="4" w:space="0" w:color="auto"/>
            </w:tcBorders>
            <w:shd w:val="clear" w:color="000000" w:fill="FFFFFF"/>
            <w:textDirection w:val="btLr"/>
            <w:vAlign w:val="center"/>
            <w:hideMark/>
          </w:tcPr>
          <w:p w14:paraId="5267CAE5"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Campitelli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66" w:type="pct"/>
            <w:tcBorders>
              <w:top w:val="nil"/>
              <w:left w:val="nil"/>
              <w:bottom w:val="single" w:sz="4" w:space="0" w:color="auto"/>
              <w:right w:val="single" w:sz="4" w:space="0" w:color="auto"/>
            </w:tcBorders>
            <w:shd w:val="clear" w:color="000000" w:fill="FFFFFF"/>
            <w:textDirection w:val="btLr"/>
            <w:vAlign w:val="center"/>
            <w:hideMark/>
          </w:tcPr>
          <w:p w14:paraId="72DF872F"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Kelaiditi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66" w:type="pct"/>
            <w:tcBorders>
              <w:top w:val="nil"/>
              <w:left w:val="nil"/>
              <w:bottom w:val="single" w:sz="4" w:space="0" w:color="auto"/>
              <w:right w:val="single" w:sz="4" w:space="0" w:color="auto"/>
            </w:tcBorders>
            <w:shd w:val="clear" w:color="000000" w:fill="FFFFFF"/>
            <w:textDirection w:val="btLr"/>
            <w:vAlign w:val="center"/>
            <w:hideMark/>
          </w:tcPr>
          <w:p w14:paraId="045207AB"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Gonzalez-Colaço</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(2017)</w:t>
            </w:r>
          </w:p>
        </w:tc>
        <w:tc>
          <w:tcPr>
            <w:tcW w:w="333" w:type="pct"/>
            <w:tcBorders>
              <w:top w:val="nil"/>
              <w:left w:val="nil"/>
              <w:bottom w:val="single" w:sz="4" w:space="0" w:color="auto"/>
              <w:right w:val="single" w:sz="4" w:space="0" w:color="auto"/>
            </w:tcBorders>
            <w:shd w:val="clear" w:color="auto" w:fill="auto"/>
            <w:textDirection w:val="btLr"/>
            <w:vAlign w:val="center"/>
            <w:hideMark/>
          </w:tcPr>
          <w:p w14:paraId="59FCECAF"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Ferrante</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(2018)</w:t>
            </w:r>
          </w:p>
        </w:tc>
        <w:tc>
          <w:tcPr>
            <w:tcW w:w="197" w:type="pct"/>
            <w:tcBorders>
              <w:top w:val="nil"/>
              <w:left w:val="nil"/>
              <w:bottom w:val="single" w:sz="4" w:space="0" w:color="auto"/>
              <w:right w:val="single" w:sz="4" w:space="0" w:color="auto"/>
            </w:tcBorders>
            <w:shd w:val="clear" w:color="auto" w:fill="auto"/>
            <w:textDirection w:val="btLr"/>
            <w:vAlign w:val="center"/>
            <w:hideMark/>
          </w:tcPr>
          <w:p w14:paraId="5710CCF1"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Hajek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eastAsia="fr-FR"/>
              </w:rPr>
              <w:t xml:space="preserve"> (2018)</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3A930B73"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val="en-US" w:eastAsia="fr-FR"/>
              </w:rPr>
              <w:t xml:space="preserve">Lambotte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val="en-US" w:eastAsia="fr-FR"/>
              </w:rPr>
              <w:t xml:space="preserve"> (2018)</w:t>
            </w:r>
          </w:p>
        </w:tc>
        <w:tc>
          <w:tcPr>
            <w:tcW w:w="265" w:type="pct"/>
            <w:tcBorders>
              <w:top w:val="nil"/>
              <w:left w:val="nil"/>
              <w:bottom w:val="single" w:sz="4" w:space="0" w:color="auto"/>
              <w:right w:val="single" w:sz="4" w:space="0" w:color="auto"/>
            </w:tcBorders>
            <w:shd w:val="clear" w:color="auto" w:fill="auto"/>
            <w:textDirection w:val="btLr"/>
            <w:vAlign w:val="center"/>
            <w:hideMark/>
          </w:tcPr>
          <w:p w14:paraId="362B02B6"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val="en-US" w:eastAsia="fr-FR"/>
              </w:rPr>
              <w:t xml:space="preserve">Verve </w:t>
            </w:r>
            <w:r>
              <w:rPr>
                <w:rFonts w:ascii="Times New Roman" w:eastAsia="Times New Roman" w:hAnsi="Times New Roman"/>
                <w:color w:val="000000"/>
                <w:sz w:val="18"/>
                <w:szCs w:val="20"/>
                <w:lang w:val="en-US" w:eastAsia="fr-FR"/>
              </w:rPr>
              <w:t xml:space="preserve">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val="en-US" w:eastAsia="fr-FR"/>
              </w:rPr>
              <w:t xml:space="preserve"> (2018)</w:t>
            </w:r>
          </w:p>
        </w:tc>
        <w:tc>
          <w:tcPr>
            <w:tcW w:w="290" w:type="pct"/>
            <w:tcBorders>
              <w:top w:val="nil"/>
              <w:left w:val="nil"/>
              <w:bottom w:val="single" w:sz="4" w:space="0" w:color="auto"/>
              <w:right w:val="single" w:sz="4" w:space="0" w:color="auto"/>
            </w:tcBorders>
            <w:textDirection w:val="btLr"/>
          </w:tcPr>
          <w:p w14:paraId="2B13C1FB"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val="en-US" w:eastAsia="fr-FR"/>
              </w:rPr>
              <w:t>Number of studies coded 1</w:t>
            </w:r>
          </w:p>
        </w:tc>
      </w:tr>
      <w:tr w:rsidR="00EE4BF0" w:rsidRPr="00E85D55" w14:paraId="4EE14328" w14:textId="77777777" w:rsidTr="007D1DAE">
        <w:trPr>
          <w:cantSplit/>
          <w:trHeight w:val="60"/>
        </w:trPr>
        <w:tc>
          <w:tcPr>
            <w:tcW w:w="106" w:type="pct"/>
            <w:tcBorders>
              <w:left w:val="single" w:sz="4" w:space="0" w:color="auto"/>
              <w:bottom w:val="single" w:sz="4" w:space="0" w:color="auto"/>
              <w:right w:val="single" w:sz="4" w:space="0" w:color="auto"/>
            </w:tcBorders>
            <w:shd w:val="clear" w:color="000000" w:fill="FFFFFF"/>
            <w:noWrap/>
            <w:vAlign w:val="center"/>
          </w:tcPr>
          <w:p w14:paraId="5F1B3239"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p>
        </w:tc>
        <w:tc>
          <w:tcPr>
            <w:tcW w:w="882" w:type="pct"/>
            <w:tcBorders>
              <w:top w:val="single" w:sz="4" w:space="0" w:color="auto"/>
              <w:left w:val="single" w:sz="4" w:space="0" w:color="auto"/>
              <w:bottom w:val="single" w:sz="4" w:space="0" w:color="000000"/>
              <w:right w:val="single" w:sz="4" w:space="0" w:color="auto"/>
            </w:tcBorders>
            <w:vAlign w:val="center"/>
          </w:tcPr>
          <w:p w14:paraId="3162A48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Reference number</w:t>
            </w:r>
          </w:p>
        </w:tc>
        <w:tc>
          <w:tcPr>
            <w:tcW w:w="182" w:type="pct"/>
            <w:tcBorders>
              <w:top w:val="nil"/>
              <w:left w:val="nil"/>
              <w:bottom w:val="single" w:sz="4" w:space="0" w:color="auto"/>
              <w:right w:val="single" w:sz="4" w:space="0" w:color="auto"/>
            </w:tcBorders>
            <w:shd w:val="clear" w:color="000000" w:fill="FFFFFF"/>
            <w:textDirection w:val="btLr"/>
            <w:vAlign w:val="center"/>
          </w:tcPr>
          <w:p w14:paraId="304D9CA4"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XjsvhU7n","properties":{"formattedCitation":"[15]","plainCitation":"[15]","noteIndex":0},"citationItems":[{"id":"Tlgz5ME1/Q2rA0b6m","uris":["http://zotero.org/groups/2323309/items/9RQJKD2K"],"uri":["http://zotero.org/groups/2323309/items/9RQJKD2K"],"itemData":{"id":"Tlgz5ME1/Q2rA0b6m","type":"article-journal","abstract":"To determine the independent prognostic effect of seven potential frailty criteria, including five from the Fried phenotype, on several adverse outcomes. Prospective cohort study. Greater New Haven, Connecticut. Seven hundred fifty-four initially nondisabled, community-living persons aged 70 and older. An assessment of seven potential frailty criteria (slow gait speed, low physical activity, weight loss, exhaustion, weakness, cognitive impairment, and depressive symptoms) was completed at baseline and every 18 months for 72 months. Participants were followed with monthly telephone interviews for up to 96 months to determine the occurrence of chronic disability, long-term nursing home (NH) stays, injurious falls, and death. In analyses adjusted for age, sex, race, education, number of chronic conditions, and the presence of the other potential frailty criteria, three of the five Fried criteria (slow gait speed, low physical activity, and weight loss) were independently associated with chronic disability, long-term NH stays, and death. Slow gait speed was the strongest predictor of chronic disability (hazard ratio (HR)=2.97, 95% confidence interval (CI)=2.32-3.80) and long-term NH stay (HR=3.86, 95% CI=2.23-6.67) and was the only significant predictor of injurious falls (HR=2.19, 95% CI=1.33-3.60). Cognitive impairment was also associated with chronic disability (HR=1.82, 95% CI=1.40-2.38), long-term NH stay (HR=2.64, 95% CI=1.75-3.99), and death (HR=1.54, 95% CI=1.13-2.10), and the magnitude of these associations was comparable with that of weight loss. The results of this study provide strong evidence to support the use of slow gait speed, low physical activity, weight loss, and cognitive impairment as key indicators of frailty while raising concerns about the value of self-reported exhaustion and muscle weakness.","container-title":"JOURNAL OF THE AMERICAN GERIATRICS SOCIETY","DOI":"10.1111/j.1532-5415.2008.02008.x","ISSN":"0002-8614","issue":"12","page":"2211-2216","title":"Prognostic Significance of Potential Frailty Criteria","volume":"56","author":[{"family":"Rothman","given":"Marc D."},{"family":"Leo-Summers","given":"Linda"},{"family":"Gill","given":"Thomas M."}],"issued":{"date-parts":[["2008",12]]}}}],"schema":"https://github.com/citation-style-language/schema/raw/master/csl-citation.json"}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[15]</w:t>
            </w:r>
            <w:r>
              <w:rPr>
                <w:rFonts w:ascii="Times New Roman" w:eastAsia="Times New Roman" w:hAnsi="Times New Roman"/>
                <w:color w:val="000000"/>
                <w:sz w:val="18"/>
                <w:szCs w:val="20"/>
                <w:lang w:eastAsia="fr-FR"/>
              </w:rPr>
              <w:fldChar w:fldCharType="end"/>
            </w:r>
          </w:p>
        </w:tc>
        <w:tc>
          <w:tcPr>
            <w:tcW w:w="194" w:type="pct"/>
            <w:tcBorders>
              <w:top w:val="nil"/>
              <w:left w:val="nil"/>
              <w:bottom w:val="single" w:sz="4" w:space="0" w:color="auto"/>
              <w:right w:val="single" w:sz="4" w:space="0" w:color="auto"/>
            </w:tcBorders>
            <w:shd w:val="clear" w:color="000000" w:fill="FFFFFF"/>
            <w:textDirection w:val="btLr"/>
            <w:vAlign w:val="center"/>
          </w:tcPr>
          <w:p w14:paraId="2C7F06C3"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rtXb25jT","properties":{"formattedCitation":"[16]","plainCitation":"[16]","noteIndex":0},"citationItems":[{"id":"Tlgz5ME1/JRVJnGsw","uris":["http://zotero.org/groups/2323309/items/XXJZHIEI"],"uri":["http://zotero.org/groups/2323309/items/XXJZHIEI"],"itemData":{"id":"Tlgz5ME1/JRVJnGsw","type":"article-journal","container-title":"AGE AND AGEING","DOI":"10.1093/ageing/afp257","ISSN":"0002-0729","issue":"2","page":"228-233","title":"Frailty and use of health and community services by community-dwelling older men: the Concord Health and Ageing in Men Project","volume":"39","author":[{"family":"Rochat","given":"Stephane"},{"family":"Cumming","given":"Robert G."},{"family":"Blyth","given":"Fiona"},{"family":"Creasey","given":"Helen"},{"family":"Handelsman","given":"David"},{"family":"Le Couteur","given":"David G."},{"family":"Naganathan","given":"Vasi"},{"family":"Sambrook","given":"Philip N."},{"family":"Seibel","given":"Markus J."},{"family":"Waite","given":"Louise"}],"issued":{"date-parts":[["2010",3]]}}}],"schema":"https://github.com/citation-style-language/schema/raw/master/csl-citation.json"}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[16]</w:t>
            </w:r>
            <w:r>
              <w:rPr>
                <w:rFonts w:ascii="Times New Roman" w:eastAsia="Times New Roman" w:hAnsi="Times New Roman"/>
                <w:color w:val="000000"/>
                <w:sz w:val="18"/>
                <w:szCs w:val="20"/>
                <w:lang w:eastAsia="fr-FR"/>
              </w:rPr>
              <w:fldChar w:fldCharType="end"/>
            </w:r>
          </w:p>
        </w:tc>
        <w:tc>
          <w:tcPr>
            <w:tcW w:w="194" w:type="pct"/>
            <w:tcBorders>
              <w:top w:val="nil"/>
              <w:left w:val="nil"/>
              <w:bottom w:val="single" w:sz="4" w:space="0" w:color="auto"/>
              <w:right w:val="single" w:sz="4" w:space="0" w:color="auto"/>
            </w:tcBorders>
            <w:shd w:val="clear" w:color="000000" w:fill="FFFFFF"/>
            <w:textDirection w:val="btLr"/>
            <w:vAlign w:val="center"/>
          </w:tcPr>
          <w:p w14:paraId="20332FBF"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Z76UAV7i","properties":{"formattedCitation":"[17]","plainCitation":"[17]","noteIndex":0},"citationItems":[{"id":"Tlgz5ME1/HfuYan15","uris":["http://zotero.org/groups/2323309/items/64THRMTJ"],"uri":["http://zotero.org/groups/2323309/items/64THRMTJ"],"itemData":{"id":"Tlgz5ME1/HfuYan15","type":"article-journal","abstract":"Abstract.  Purpose: To assess the predictive validity of frailty and its domains (physical, psychological, and social), as measured by the Tilburg Frailty Indic","container-title":"The Gerontologist","DOI":"10.1093/geront/gnr135","ISSN":"0016-9013","issue":"5","journalAbbreviation":"Gerontologist","language":"en","page":"619-631","source":"academic.oup.com","title":"The Predictive Validity of the Tilburg Frailty Indicator: Disability, Health Care Utilization, and Quality of Life in a Population at Risk","title-short":"The Predictive Validity of the Tilburg Frailty Indicator","volume":"52","author":[{"family":"Gobbens","given":"Robbert J. J."},{"family":"Assen","given":"Marcel A. L. M.","non-dropping-particle":"van"},{"family":"Luijkx","given":"Katrien G."},{"family":"Schols","given":"Jos M. G. A."}],"issued":{"date-parts":[["2012",10,1]]}}}],"schema":"https://github.com/citation-style-language/schema/raw/master/csl-citation.json"}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[17]</w:t>
            </w:r>
            <w:r>
              <w:rPr>
                <w:rFonts w:ascii="Times New Roman" w:eastAsia="Times New Roman" w:hAnsi="Times New Roman"/>
                <w:color w:val="000000"/>
                <w:sz w:val="18"/>
                <w:szCs w:val="20"/>
                <w:lang w:eastAsia="fr-FR"/>
              </w:rPr>
              <w:fldChar w:fldCharType="end"/>
            </w:r>
          </w:p>
        </w:tc>
        <w:tc>
          <w:tcPr>
            <w:tcW w:w="228" w:type="pct"/>
            <w:tcBorders>
              <w:top w:val="nil"/>
              <w:left w:val="nil"/>
              <w:bottom w:val="single" w:sz="4" w:space="0" w:color="auto"/>
              <w:right w:val="single" w:sz="4" w:space="0" w:color="auto"/>
            </w:tcBorders>
            <w:shd w:val="clear" w:color="000000" w:fill="FFFFFF"/>
            <w:textDirection w:val="btLr"/>
            <w:vAlign w:val="center"/>
          </w:tcPr>
          <w:p w14:paraId="66BB821C"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hEf2o00r","properties":{"formattedCitation":"[18]","plainCitation":"[18]","noteIndex":0},"citationItems":[{"id":"Tlgz5ME1/OpNdfn6D","uris":["http://zotero.org/groups/2323309/items/GIB375SX"],"uri":["http://zotero.org/groups/2323309/items/GIB375SX"],"itemData":{"id":"Tlgz5ME1/OpNdfn6D","type":"article-journal","abstract":"Background: The patterns of health- and home-care utilization among Belgian frail elderly persons living at home with varying socio-economic status are currently unknown. Methods: In this cross-sectional study based on a representative sample of 4777 elderly participants (epsilon 65 years) in the Belgian Health Interview Survey the prevalence of frailty, as determined by items referring to the Fried phenotype, was estimated according to age, gender, comorbidity, place of residence, survey year, living situation and socio-economic status. Differing health-care utilization [contacts with a general practitioner (GP), specialist and emergency department; and hospital admission) and home-care utilization (home nursing, home help and meals-on-wheels] patterns among the frail, prefrail and robust subpopulations were examined. Results: Overall, 9.3% respondents (426) were classified as frail, 30.7% (1636) as prefrail and 60.0% (2715) as robust. Frailty was associated with age, gender, comorbidity, region, survey year and socio-economic status. The frail and prefrail groups were more likely than the robust to contact a GP, a specialist or an emergency department and were more likely to be admitted to hospital, independent of age, gender, comorbidity, survey year, living situation, region and socio-economic status. They were also more likely to appeal to home nursing, home help and meals-on-wheels than the robust participants. Conclusion: Even after adjustment for potential confounders, including age, gender and comorbidity, frailty among Belgian elderly persons is associated with their socio-economic status and is strongly associated with their health- and home-care utilization.","container-title":"European Journal of Public Health","DOI":"10.1093/eurpub/ckr133","ISSN":"1101-1262","issue":"5","page":"671-677","title":"Health-care and home-care utilization among frail elderly persons in Belgium","volume":"22","author":[{"family":"Hoeck","given":"Sarah"},{"family":"Francois","given":"Guido"},{"family":"Geerts","given":"Joanna"},{"family":"Van der Heyden","given":"Johan"},{"family":"Vandewoude","given":"Maurits"},{"family":"Van Hal","given":"Guido"}],"issued":{"date-parts":[["2012",10]]}}}],"schema":"https://github.com/citation-style-language/schema/raw/master/csl-citation.json"}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[18]</w:t>
            </w:r>
            <w:r>
              <w:rPr>
                <w:rFonts w:ascii="Times New Roman" w:eastAsia="Times New Roman" w:hAnsi="Times New Roman"/>
                <w:color w:val="000000"/>
                <w:sz w:val="18"/>
                <w:szCs w:val="20"/>
                <w:lang w:eastAsia="fr-FR"/>
              </w:rPr>
              <w:fldChar w:fldCharType="end"/>
            </w:r>
          </w:p>
        </w:tc>
        <w:tc>
          <w:tcPr>
            <w:tcW w:w="174" w:type="pct"/>
            <w:tcBorders>
              <w:top w:val="nil"/>
              <w:left w:val="nil"/>
              <w:bottom w:val="single" w:sz="4" w:space="0" w:color="auto"/>
              <w:right w:val="single" w:sz="4" w:space="0" w:color="auto"/>
            </w:tcBorders>
            <w:shd w:val="clear" w:color="000000" w:fill="FFFFFF"/>
            <w:textDirection w:val="btLr"/>
            <w:vAlign w:val="center"/>
          </w:tcPr>
          <w:p w14:paraId="427B5034"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vg9vxmFs","properties":{"formattedCitation":"[27]","plainCitation":"[27]","noteIndex":0},"citationItems":[{"id":"Tlgz5ME1/GHhOopBs","uris":["http://zotero.org/groups/2323309/items/QJV3BDZA"],"uri":["http://zotero.org/groups/2323309/items/QJV3BDZA"],"itemData":{"id":"Tlgz5ME1/GHhOopBs","type":"article-journal","abstract":"Background: Few studies have directly compared the competing approaches to identifying frailty in more vulnerable older populations. We examined the ability of two versions of a frailty index (43 vs. 83 items), the Cardiovascular Health Study (CHS) frailty criteria, and the CHESS scale to accurately predict the occurrence of three outcomes among Assisted Living (AL) residents followed over one year. Methods: The three frailty measures and the CHESS scale were derived from assessment items completed among 1,066 AL residents (aged 65+) participating in the Alberta Continuing Care Epidemiological Studies (ACCES). Adjusted risks of one-year mortality, hospitalization and long-term care placement were estimated for those categorized as frail or pre-frail compared with non-frail (or at high/intermediate vs. low risk on CHESS). The area under the ROC curve (AUC) was calculated for select models to assess the predictive accuracy of the different frailty measures and CHESS scale in relation to the three outcomes examined. Results: Frail subjects defined by the three approaches and those at high risk for decline on CHESS showed a statistically significant increased risk for death and long-term care placement compared with those categorized as either not frail or at low risk for decline. The risk estimates for hospitalization associated with the frailty measures and CHESS were generally weaker with one of the frailty indices (43 items) showing no significant association. For death and long-term care placement, the addition</w:instrText>
            </w:r>
            <w:r w:rsidRPr="008C0A90">
              <w:rPr>
                <w:rFonts w:ascii="Times New Roman" w:eastAsia="Times New Roman" w:hAnsi="Times New Roman"/>
                <w:color w:val="000000"/>
                <w:sz w:val="18"/>
                <w:szCs w:val="20"/>
                <w:lang w:val="en-US" w:eastAsia="fr-FR"/>
              </w:rPr>
              <w:instrText xml:space="preserve"> of frailty (however derived) or CHESS significantly improved on the AUC obtained with a model including only age, sex and co-morbidity, though the magnitude of improvement was sometimes small. The different frailty/risk models did not differ significantly from each other in predicting mortality or hospitalization; however, one of the frailty indices (83 items) showed significantly better performance over the other measures in predicting long-term care placement. Conclusions: Using different approaches, varying degrees of frailty were detected within the AL population. The various approaches to defining frailty were generally more similar than dissimilar with regard to predictive accuracy with some exceptions. The clinical implications and opportunities of detecting frailty in more vulnerable older adults require further investigation.","container-title":"BMC GERIATRICS","DOI":"10.1186/1471-2318-12-56","ISSN":"1471-2318","title":"Comparing frailty measures in their ability to predict adverse outcome among older residents of assisted living","volume":"12","author":[{"family":"Hogan","given":"David B."},{"family":"Freiheit","given":"Elizabeth A."},{"family":"Strain","given":"Laurel A."},{"family":"Patten","given":"Scott B."},{"family":"Schmaltz","given":"Heidi N."},{"family":"Rolfson","given":"Darryl"},{"family":"Maxwell","given":"Colleen J."}],"issued":{"date-parts":[["2012",9,14]]}}}],"schema":"https://github.com/citation-style-language/schema/raw/master/csl-citation.json"}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lang w:val="en-US"/>
              </w:rPr>
              <w:t>[27]</w:t>
            </w:r>
            <w:r>
              <w:rPr>
                <w:rFonts w:ascii="Times New Roman" w:eastAsia="Times New Roman" w:hAnsi="Times New Roman"/>
                <w:color w:val="000000"/>
                <w:sz w:val="18"/>
                <w:szCs w:val="20"/>
                <w:lang w:eastAsia="fr-FR"/>
              </w:rPr>
              <w:fldChar w:fldCharType="end"/>
            </w:r>
          </w:p>
        </w:tc>
        <w:tc>
          <w:tcPr>
            <w:tcW w:w="192" w:type="pct"/>
            <w:tcBorders>
              <w:top w:val="nil"/>
              <w:left w:val="nil"/>
              <w:bottom w:val="single" w:sz="4" w:space="0" w:color="auto"/>
              <w:right w:val="single" w:sz="4" w:space="0" w:color="auto"/>
            </w:tcBorders>
            <w:shd w:val="clear" w:color="000000" w:fill="FFFFFF"/>
            <w:textDirection w:val="btLr"/>
            <w:vAlign w:val="center"/>
          </w:tcPr>
          <w:p w14:paraId="0FC0A12D"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F2YdYYKc","properties":{"formattedCitation":"[29]","plainCitation":"[29]","noteIndex":0},"citationItems":[{"id":"Tlgz5ME1/LXklAH6P","uris":["http://zotero.org/groups/2323309/items/3ZE4M3XF"],"uri":["http://zotero.org/groups/2323309/items/3ZE4M3XF"],"itemData":{"id":"Tlgz5ME1/LXklAH6P","type":"article-journal","abstract":"Frailty appears to develop earlier and is more severe in people with intellectual disabilities compared to the general population. The high prevalence of frailty may lead to an increase in care intensity and associated health care costs. Therefore a longitudinal observational study was conducted to determine the effect of frailty on care intensity. The association between frailty and care intensity at baseline and follow-up (3 years later) was assessed. Furthermore, the ability of the frailty index to predict an increase in care intensity after 3 years was evaluated. This study was part of the Dutch `Healthy aging and intellectual disabilities' (HA-ID) study. Frailty was measured at baseline with a frailty index that included 51 health-and age-related deficits. For all participants information on care intensity in seven steps was available, based on long term care indications under the Act on Exceptional Medical Expenses (AWBZ) - a law that finances specialized long-term care. 676 participants (50 years and over) with ID were included in the final analysis. In 26% of the participants, care intensity had increased during the follow-up period. Increased care during the follow-up was related to a high frailty index score at baseline, independent of gender, age, level of ID and the presence of Down syndrome (p = 0.003). After exclusion of ADL and IADL items, the frailty index remained significantly related with increasing care intensity during follow-up (p = 0.007). Our results underline that screening instruments for early detection of frailty and effective interventions are required to limit the burden of frailty for individuals and caregivers, but also to limit health care utilization. (C) 2014 Elsevier Ltd. All rights reserved.","container-title":"RESEARCH IN DEVELOPMENTAL DISABILITIES","DOI":"10.1016/j.ridd.2014.08.006","ISSN":"0891-4222","issue":"12","page":"3455-3461","title":"The impact of frailty on care intensity in older people with intellectual disabilities","volume":"35","author":[{"family":"Schoufour","given":"Josje D."},{"family":"Evenhuis","given":"Heleen M."},{"family":"Echteld","given":"Michael A."}],"issued":{"date-parts":[["2014",12]]}}}],"schema":"https://github.com/citation-style-language/schema/raw/master/csl-citation.json"}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[29]</w:t>
            </w:r>
            <w:r>
              <w:rPr>
                <w:rFonts w:ascii="Times New Roman" w:eastAsia="Times New Roman" w:hAnsi="Times New Roman"/>
                <w:color w:val="000000"/>
                <w:sz w:val="18"/>
                <w:szCs w:val="20"/>
                <w:lang w:val="en-US" w:eastAsia="fr-FR"/>
              </w:rPr>
              <w:fldChar w:fldCharType="end"/>
            </w:r>
          </w:p>
        </w:tc>
        <w:tc>
          <w:tcPr>
            <w:tcW w:w="174" w:type="pct"/>
            <w:tcBorders>
              <w:top w:val="nil"/>
              <w:left w:val="nil"/>
              <w:bottom w:val="single" w:sz="4" w:space="0" w:color="auto"/>
              <w:right w:val="single" w:sz="4" w:space="0" w:color="auto"/>
            </w:tcBorders>
            <w:shd w:val="clear" w:color="000000" w:fill="FFFFFF"/>
            <w:textDirection w:val="btLr"/>
            <w:vAlign w:val="center"/>
          </w:tcPr>
          <w:p w14:paraId="6BF3FD5B"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XWVk7SK5","properties":{"formattedCitation":"[20]","plainCitation":"[20]","noteIndex":0},"citationItems":[{"id":"Tlgz5ME1/en6C4HC8","uris":["http://zotero.org/groups/2323309/items/WXD6KH2R"],"uri":["http://zotero.org/groups/2323309/items/WXD6KH2R"],"itemData":{"id":"Tlgz5ME1/en6C4HC8","type":"article-journal","abstract":"Introduction: Sarcopenia is associated with an increased risk of adverse outcomes. The aim of this study was to explore the relationship between severity of sarcopenia and incident activities of daily living (ADL) disability, institutionalization, and all-cause mortality among community-dwelling older men participating in the Concord Health and Ageing in Men Project (CHAMP). Methods: Longitudinal analysis of 1705 participants aged 70 years or older at baseline (2005-2007) living in the community in Sydney, Australia. Measurements: The main outcome measures were incident ADL disability, institutionalization, and mortality. Of the 1705 participants who completed the baseline assessments, a total of 1678 men (mean age 77 years) had complete measures by dual-energy x-ray absorptiometry, to assess sarcopenia in terms of low appendicular lean mass (ALM), using the Foundation for the National Institutes of Health (FNIH) criteria. To differentiate between severity of sarcopenia we used low ALM alone (sarcopenia I), low ALM with weakness (sarcopenia II), and sarcopenia with weakness and poor gait speed (sarcopenia III). Cox proportional hazard models and logistic regression models were used to assess the risk of mortality and institutionalization, and incidence of ADL disability. Results: From baseline to follow-up, 103 (11.3%) men had incident ADL disability, 191 (11.2%) men were institutionalized, and 535 (31.9%) had died. At baseline, 14.2% had sarcopenia I, 5.3% had sarcopenia II, and 3.7% had sarcopenia III. Fully adjusted analysis (adjusted for demographics, lifestyle factors, comorbidities and health conditions, and blood measures) showed that sarcopenia I, II, and III were associated with increased risk of disability, institutionalization, and mortality. Associations between sarcopenia I, II, and III and risk of incident disability were as follows: odds ratio (OR) 2.77 95% confidence interval (CI) 1.30-5.87, OR 3.78 95% CI 1.23-11.64, and OR 4.53 95% CI 0.90-22.72; associations with institutionalization were hazard ratio (HR) 1.96 95% CI 1.14-3.35, HR 2.53 95% CI 1.31-4.90, and HR 2.27 95% CI 1.08-4.80; and with mortality were HR 1.65 95% CI 1.30-2.09, HR 1.50 95% CI 1.08-2.08, and HR 1.69 95% CI 1.17-2.44. Conclusions: This study shows that, in community-dwelling older men, sarcopenia defined by the FNIH criteria is associated with increased risk of incident disability, institutionalization, and mortality. (C) 2015 AMDA - The Society for Post-Acute and Long-Term Care Medicine.","container-title":"JOURNAL OF THE AMERICAN MEDICAL DIRECTORS ASSOCIATION","DOI":"10.1016/j.jamda.2015.02.006","ISSN":"1525-8610","issue":"7","page":"607-613","title":"Sarcopenia Is Associated With Incident Disability, Institutionalization, and Mortality in Community-Dwelling Older Men: The Concord Health and Ageing in Men Project","volume":"16","author":[{"family":"Hirani","given":"Vasant"},{"family":"Blyth","given":"Fiona"},{"family":"Naganathan","given":"Vasi"},{"family":"Le Couteur","given":"David G."},{"family":"Seibel","given":"Markus J."},{"family":"Waite","given":"Louise M."},{"family":"Handelsman","given":"David J."},{"family":"Cumming","given":"Robert G."}],"issued":{"date-parts":[["2015",7,1]]}}}],"schema":"https://github.com/citation-style-language/schema/raw/master/csl-citation.json"}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lang w:val="en-US"/>
              </w:rPr>
              <w:t>[20]</w:t>
            </w:r>
            <w:r>
              <w:rPr>
                <w:rFonts w:ascii="Times New Roman" w:eastAsia="Times New Roman" w:hAnsi="Times New Roman"/>
                <w:color w:val="000000"/>
                <w:sz w:val="18"/>
                <w:szCs w:val="20"/>
                <w:lang w:val="en-US" w:eastAsia="fr-FR"/>
              </w:rPr>
              <w:fldChar w:fldCharType="end"/>
            </w:r>
          </w:p>
        </w:tc>
        <w:tc>
          <w:tcPr>
            <w:tcW w:w="174" w:type="pct"/>
            <w:tcBorders>
              <w:top w:val="nil"/>
              <w:left w:val="nil"/>
              <w:bottom w:val="single" w:sz="4" w:space="0" w:color="auto"/>
              <w:right w:val="single" w:sz="4" w:space="0" w:color="auto"/>
            </w:tcBorders>
            <w:shd w:val="clear" w:color="000000" w:fill="FFFFFF"/>
            <w:textDirection w:val="btLr"/>
            <w:vAlign w:val="center"/>
          </w:tcPr>
          <w:p w14:paraId="0A4B8D3D"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O45KFgk7","properties":{"formattedCitation":"[19]","plainCitation":"[19]","noteIndex":0},"citationItems":[{"id":"Tlgz5ME1/nA4YZCGC","uris":["http://zotero.org/groups/2323309/items/ACPQGRIR"],"uri":["http://zotero.org/groups/2323309/items/ACPQGRIR"],"itemData":{"id":"Tlgz5ME1/nA4YZCGC","type":"article-journal","abstract":"Background: Frailty is a dynamic process with transitions over time. Objectives: To examine frailty transitions and their relationship to utilization of health services. Methods: Frailty status using the Vulnerable Elders Survey (VES-13) was determined for 608 community-dwelling older people interviewed in a 2008 national survey and for 281 re-interviewed in 2014. The effect of frailty on death 6 years later was assessed using Cox proportional hazards analysis. Participants were divided into four groups based on their frailty transition. Demographic, functional and health characteristics were compared between the four groups using the Kruskal-Wallis and paired t-test. The independent association between the four frailty groups and health services utilization was assessed using logistic regression. Results: Between 2008 and 2014, 24% of 608 participants were lost to follow-up, 9% were non-frail, 37% were frail, and 30% died. The Cox ratio showed that 86% of the non-frail in 2008 were alive 6 years later vs. 52% of the frail (hazard ratio 3.5, confidence interval 2.2–5.4). Frailty transitions in the 281 participants interviewed at both time points revealed that 19% stayed non-frail, 22% became frail, 22% stayed frail and 37% became more frail. Becoming frail, staying frail or becoming more frail compared to staying non-frail was independently associated with a greater risk for requiring help on a regular basis, having a formal caregiver, and requiring home care. Conclusions: Any transition away from the non-frail state increased the use of health care services. Interventions to target early transition to frailty should be encouraged.","archive":"Embase","container-title":"Israel Medical Association Journal","ISSN":"1565-1088","issue":"8","journalAbbreviation":"Isr. Med. Assoc. J.","language":"English","page":"449-453","title":"Frailty transitions in community-dwelling older people","volume":"18","author":[{"literal":"Bentur N."},{"literal":"Sternberg S.A."},{"literal":"Shuldiner J."}],"issued":{"date-parts":[["2016"]]}}}],"schema":"https://github.com/citation-style-language/schema/raw/master/csl-citation.json"}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[19]</w:t>
            </w:r>
            <w:r>
              <w:rPr>
                <w:rFonts w:ascii="Times New Roman" w:eastAsia="Times New Roman" w:hAnsi="Times New Roman"/>
                <w:color w:val="000000"/>
                <w:sz w:val="18"/>
                <w:szCs w:val="20"/>
                <w:lang w:val="en-US" w:eastAsia="fr-FR"/>
              </w:rPr>
              <w:fldChar w:fldCharType="end"/>
            </w:r>
          </w:p>
        </w:tc>
        <w:tc>
          <w:tcPr>
            <w:tcW w:w="196" w:type="pct"/>
            <w:tcBorders>
              <w:top w:val="nil"/>
              <w:left w:val="nil"/>
              <w:bottom w:val="single" w:sz="4" w:space="0" w:color="auto"/>
              <w:right w:val="single" w:sz="4" w:space="0" w:color="auto"/>
            </w:tcBorders>
            <w:shd w:val="clear" w:color="000000" w:fill="FFFFFF"/>
            <w:textDirection w:val="btLr"/>
            <w:vAlign w:val="center"/>
          </w:tcPr>
          <w:p w14:paraId="0F761655"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i0iH31k2","properties":{"formattedCitation":"[21]","plainCitation":"[21]","noteIndex":0},"citationItems":[{"id":"Tlgz5ME1/r7trlIAN","uris":["http://zotero.org/groups/2323309/items/BQWGYLBA"],"uri":["http://zotero.org/groups/2323309/items/BQWGYLBA"],"itemData":{"id":"Tlgz5ME1/r7trlIAN","type":"article-journal","abstract":"The concept of frailty is rapidly gaining attention as an independent syndrome with high prevalence in older adults. Thereby, frailty is often related to certain adverse outcomes like mortality or disability. Another adverse outcome discussed is increased health care utilization. However, only few studies examined the impact of frailty on health care utilization and corresponding costs. The aim of this study was therefore to investigate comprehensively the relationship between frailty, health care utilization and costs.","container-title":"BMC Health Services Research","DOI":"10.1186/s12913-016-1360-3","ISSN":"1472-6963","issue":"1","journalAbbreviation":"BMC Health Services Research","page":"128","source":"BioMed Central","title":"Associations of frailty with health care costs – results of the ESTHER cohort study","volume":"16","author":[{"family":"Bock","given":"Jens-Oliver"},{"family":"König","given":"Hans-Helmut"},{"family":"Brenner","given":"Hermann"},{"family":"Haefeli","given":"Walter E."},{"family":"Quinzler","given":"Renate"},{"family":"Matschinger","given":"Herbert"},{"family":"Saum","given":"Kai-Uwe"},{"family":"Schöttker","given":"Ben"},{"family":"Heider","given":"Dirk"}],"issued":{"date-parts":[["2016",4,14]]}}}],"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[21]</w:t>
            </w:r>
            <w:r>
              <w:rPr>
                <w:rFonts w:ascii="Times New Roman" w:eastAsia="Times New Roman" w:hAnsi="Times New Roman"/>
                <w:color w:val="000000"/>
                <w:sz w:val="18"/>
                <w:szCs w:val="20"/>
                <w:lang w:val="en-US" w:eastAsia="fr-FR"/>
              </w:rPr>
              <w:fldChar w:fldCharType="end"/>
            </w:r>
          </w:p>
        </w:tc>
        <w:tc>
          <w:tcPr>
            <w:tcW w:w="231" w:type="pct"/>
            <w:tcBorders>
              <w:top w:val="nil"/>
              <w:left w:val="nil"/>
              <w:bottom w:val="single" w:sz="4" w:space="0" w:color="auto"/>
              <w:right w:val="single" w:sz="4" w:space="0" w:color="auto"/>
            </w:tcBorders>
            <w:shd w:val="clear" w:color="000000" w:fill="FFFFFF"/>
            <w:textDirection w:val="btLr"/>
            <w:vAlign w:val="center"/>
          </w:tcPr>
          <w:p w14:paraId="4043850F"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IwEmVhIi","properties":{"formattedCitation":"[30]","plainCitation":"[30]","noteIndex":0},"citationItems":[{"id":"Tlgz5ME1/gPbw0VcX","uris":["http://zotero.org/groups/2323309/items/E7PBGZVI"],"uri":["http://zotero.org/groups/2323309/items/E7PBGZVI"],"itemData":{"id":"Tlgz5ME1/gPbw0VcX","type":"article-journal","abstract":"ObjectivesDementia draws on a variety of public and private resources. There is increasing pressure to define the cost components in this area to improve resource allocation and accountability. The aim of this study was to characterize frailty in a group of cognitively impaired community-dwelling elders and evaluate its relationship with cost and resource utilization. MethodsWe assessed a cross-sectional, convenient sample of 115 cognitively impaired patients of age &gt;55years who attended the National Memory Clinic in St James' University Hospital, a Trinity College-affiliated hospital in Dublin, Ireland. Participants had a clinical diagnosis of possible Alzheimer's disease or mild cognitive impairment. Frailty was measured using the biological syndrome model. Formal health and social care costs and daily informal caregiving costs were collected and the total costs of care estimated by applying the appropriate unit cost estimate for each resource activity. Stepwise regression models were constructed to establish the factors associated with increased care costs. ResultsPatient dependence, frailty and number of co-morbid illnesses explained 43.3% of the variance in observed daily informal care costs in dementia and cognitively impaired patients. Dependence was the sole factor retained in an optimal model explaining 19% of the variance in formal health and social care costs. ConclusionFrailty retained a strong association with daily informal care costs even in the context of other known risk factors for increasing care costs. Interventions that reduce frailty as well as patient dependence on others may be associated with cost savings. Copyright (c) 2015 John Wiley &amp; Sons, Ltd.","container-title":"INTERNATIONAL JOURNAL OF GERIATRIC PSYCHIATRY","DOI":"10.1002/gps.4306","ISSN":"0885-6230","issue":"2","page":"161-168","title":"Frailty: a costly phenomenon in caring for elders with cognitive impairment","volume":"31","author":[{"family":"Butler","given":"Aine"},{"family":"Gallagher","given":"Damien"},{"family":"Gillespie","given":"Paddy"},{"family":"Crosby","given":"Lisa"},{"family":"Ryan","given":"Deirdre"},{"family":"Lacey","given":"Loretto"},{"family":"Coen","given":"Robert"},{"family":"O'Shea","given":"Eamon"},{"family":"Lawlor","given":"Brian"}],"issued":{"date-parts":[["2016",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[30]</w:t>
            </w:r>
            <w:r>
              <w:rPr>
                <w:rFonts w:ascii="Times New Roman" w:eastAsia="Times New Roman" w:hAnsi="Times New Roman"/>
                <w:color w:val="000000"/>
                <w:sz w:val="18"/>
                <w:szCs w:val="20"/>
                <w:lang w:val="en-US" w:eastAsia="fr-FR"/>
              </w:rPr>
              <w:fldChar w:fldCharType="end"/>
            </w:r>
          </w:p>
        </w:tc>
        <w:tc>
          <w:tcPr>
            <w:tcW w:w="229" w:type="pct"/>
            <w:tcBorders>
              <w:top w:val="nil"/>
              <w:left w:val="nil"/>
              <w:bottom w:val="single" w:sz="4" w:space="0" w:color="auto"/>
              <w:right w:val="single" w:sz="4" w:space="0" w:color="auto"/>
            </w:tcBorders>
            <w:shd w:val="clear" w:color="000000" w:fill="FFFFFF"/>
            <w:textDirection w:val="btLr"/>
            <w:vAlign w:val="center"/>
          </w:tcPr>
          <w:p w14:paraId="7954638B"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oYCUZSUt","properties":{"formattedCitation":"[28]","plainCitation":"[28]","noteIndex":0},"citationItems":[{"id":"Tlgz5ME1/Cje3Gphi","uris":["http://zotero.org/groups/2323309/items/FCY6SQWP"],"uri":["http://zotero.org/groups/2323309/items/FCY6SQWP"],"itemData":{"id":"Tlgz5ME1/Cje3Gphi","type":"article-journal","abstract":"Background: Evaluating different approaches to identifying frail home care clients at heightened risk for adverse health outcomes is an important but understudied area. Our objectives were to determine the prevalence and correlates of frailty (as operationally defined by three measures) in a home care cohort, the agreement between these measures, and their predictive validity for several outcomes assessed over one year. Methods: We conducted a retrospective cohort study with linked population-based administrative and clinical (Resident Assessment Instrument [RAI]) data for all long-stay home care clients (aged 66+) assessed between April 2010-2013 in Ontario, Canada (n = 234,552). We examined two versions of a frailty index (FI), a full and modified FI, and the CHESS scale, compared their baseline characteristics and their predictive accuracy (by calculating the area under the ROC curve [AUC]) for death, long-term care (LTC) admission, and hospitalization endpoints in models adjusted for age, sex and comorbidity. Results: Frailty prevalence varied by measure (19.5, 24.4 and 44.1 %, for full FI, modified FI and CHESS, respectively) and was similar among female and male clients. All three measures were associated with a significantly increased risk of death, LTC admission and hospitalization endpoints in adjusted analyses but their addition to base models resulted in modest improvement for most AUC estimates. There were significant differences between measures in predictive accuracy, with the full FI demonstrating a higher AUC for LTC admission and CHESS a higher AUC for hospitalization - although none of the measures performed well for the hospitalization endpoints. Conclusions: The different approaches to detecting vulnerability resulted in different estimates of frailty prevalence among home care clients in Ontario. Although all three measures were significant predictors of the health outcomes examined, the gains in predictive accuracy were often modest with the exception of the full FI in predicting LTC admission. Our findings provide some support for the clinical utility of a comprehensive FI measure and also illustrate that it is feasible to derive such a measure at the population level using routinely collected data. This may facilitate further research on frailty in this setting, including the development and evaluation of interventions for frailty.","container-title":"BMC GERIATRICS","DOI":"10.1186/s12877-016-0309-z","ISSN":"1471-2318","title":"The prevalence and health consequences of frailty in a population-based older home care cohort: a comparison of different measures","volume":"16","author":[{"family":"Campitelli","given":"Michael A."},{"family":"Bronskill","given":"Susan E."},{"family":"Hogan","given":"David B."},{"family":"Diong","given":"Christina"},{"family":"Amuah","given":"Joseph E."},{"family":"Gill","given":"Sudeep"},{"family":"Seitz","given":"Dallas"},{"family":"Thavorn","given":"Kednapa"},{"family":"Wodchis","given":"Walter P."},{"family":"Maxwell","given":"Colleen J."}],"issued":{"date-parts":[["2016",7,7]]}}}],"schema":"https://github.com/citation-style-language/schema/raw/master/csl-citation.json"}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lang w:val="en-US"/>
              </w:rPr>
              <w:t>[28]</w:t>
            </w:r>
            <w:r>
              <w:rPr>
                <w:rFonts w:ascii="Times New Roman" w:eastAsia="Times New Roman" w:hAnsi="Times New Roman"/>
                <w:color w:val="000000"/>
                <w:sz w:val="18"/>
                <w:szCs w:val="20"/>
                <w:lang w:val="en-US" w:eastAsia="fr-FR"/>
              </w:rPr>
              <w:fldChar w:fldCharType="end"/>
            </w:r>
          </w:p>
        </w:tc>
        <w:tc>
          <w:tcPr>
            <w:tcW w:w="266" w:type="pct"/>
            <w:tcBorders>
              <w:top w:val="nil"/>
              <w:left w:val="nil"/>
              <w:bottom w:val="single" w:sz="4" w:space="0" w:color="auto"/>
              <w:right w:val="single" w:sz="4" w:space="0" w:color="auto"/>
            </w:tcBorders>
            <w:shd w:val="clear" w:color="000000" w:fill="FFFFFF"/>
            <w:textDirection w:val="btLr"/>
            <w:vAlign w:val="center"/>
          </w:tcPr>
          <w:p w14:paraId="357BB632"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MbTw8qNF","properties":{"formattedCitation":"[31]","plainCitation":"[31]","noteIndex":0},"citationItems":[{"id":"Tlgz5ME1/VOzqoHYm","uris":["http://zotero.org/groups/2323309/items/3F3VBBQA"],"uri":["http://zotero.org/groups/2323309/items/3F3VBBQA"],"itemData":{"id":"Tlgz5ME1/VOzqoHYm","type":"article-journal","abstract":"AbstractBackground. .  The identification of an objective evaluation of frailty capable of predicting adverse outcomes in Alzheimer’s disease is increasingly di","container-title":"The Journals of Gerontology: Series A","DOI":"10.1093/gerona/glv137","ISSN":"1079-5006","issue":"4","journalAbbreviation":"J Gerontol A Biol Sci Med Sci","language":"en","page":"543-548","source":"academic.oup.com","title":"Frailty Index and Incident Mortality, Hospitalization, and Institutionalization in Alzheimer’s Disease: Data From the ICTUS Study","title-short":"Frailty Index and Incident Mortality, Hospitalization, and Institutionalization in Alzheimer’s Disease","volume":"71","author":[{"family":"Kelaiditi","given":"Eirini"},{"family":"Andrieu","given":"Sandrine"},{"family":"Cantet","given":"Christelle"},{"family":"Vellas","given":"Bruno"},{"family":"Cesari","given":"Matteo"}],"issued":{"date-parts":[["2016",4,1]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[31]</w:t>
            </w:r>
            <w:r>
              <w:rPr>
                <w:rFonts w:ascii="Times New Roman" w:eastAsia="Times New Roman" w:hAnsi="Times New Roman"/>
                <w:color w:val="000000"/>
                <w:sz w:val="18"/>
                <w:szCs w:val="20"/>
                <w:lang w:val="en-US" w:eastAsia="fr-FR"/>
              </w:rPr>
              <w:fldChar w:fldCharType="end"/>
            </w:r>
          </w:p>
        </w:tc>
        <w:tc>
          <w:tcPr>
            <w:tcW w:w="266" w:type="pct"/>
            <w:tcBorders>
              <w:top w:val="nil"/>
              <w:left w:val="nil"/>
              <w:bottom w:val="single" w:sz="4" w:space="0" w:color="auto"/>
              <w:right w:val="single" w:sz="4" w:space="0" w:color="auto"/>
            </w:tcBorders>
            <w:shd w:val="clear" w:color="000000" w:fill="FFFFFF"/>
            <w:textDirection w:val="btLr"/>
            <w:vAlign w:val="center"/>
          </w:tcPr>
          <w:p w14:paraId="660968D0"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y0vyDkTZ","properties":{"formattedCitation":"[22]","plainCitation":"[22]","noteIndex":0},"citationItems":[{"id":"Tlgz5ME1/KOzpAbQu","uris":["http://zotero.org/groups/2323309/items/FRMGSS2W"],"uri":["http://zotero.org/groups/2323309/items/FRMGSS2W"],"itemData":{"id":"Tlgz5ME1/KOzpAbQu","type":"article-journal","abstract":"Background\nDespite several attempts to reach a single definition of frailty, no consensus has been reached. The definitions previously published have tried to prove its utility in predicting negative health outcomes. The objective of the present study is to compare the predictive value of 3 different frailty instruments, for selected outcomes.\nMethods\nThe study sample includes 1278 participants of the Three-City study, a French prospective population-based study, assessed for frailty using Fried's phenotype criteria, Rockwood's Frailty Index and Tilburg Frailty Indicator. To assess the risk of mortality, incident disability, falls, institutionalization and hospitalization for a follow up period of 12 years, Cox proportional hazard models with delayed entry have been used. The area under the time-dependent ROC curve has been used to estimate and compare the ability of the three instruments of frailty to predict the previous adverse outcomes at 12 years.\nResults\nFive hundred ninety four participants were identified as non-robust with Fried's criteria; 169 with Rockwood's FI and 303 with TFI. The three scales consistently identified 91 participants as non-robust and 574 as robust. Rockwood's FI was a statistically significant predictor of mortality, incident disability and falls, and a strong predictor of hospitalization.\nConclusion\nIn the absence of a “gold standard” definition of frailty, a debate on what measures and how to include them is open. A clue may be that one should select the appropriate definition according to the to-be predicted outcome, the setting and the underlying etiology of frailty.","container-title":"Archives of Gerontology and Geriatrics","DOI":"10.1016/j.archger.2017.06.005","ISSN":"0167-4943","journalAbbreviation":"Archives of Gerontology and Geriatrics","page":"153-163","source":"ScienceDirect","title":"Comparing the predictive value of three definitions of frailty: Results from the Three-City study.","title-short":"Comparing the predictive value of three definitions of frailty","volume":"72","author":[{"family":"Gonzalez-Colaço Harmand","given":"Magali"},{"family":"Meillon","given":"Céline"},{"family":"Bergua","given":"Valérie"},{"family":"Tabue Teguo","given":"Maturin"},{"family":"Dartigues","given":"Jean-François"},{"family":"Avila-Funes","given":"José Alberto"},{"family":"Amieva","given":"Hélène"}],"issued":{"date-parts":[["2017",9,1]]}}}],"schema":"https://github.com/citation-style-language/schema/raw/master/csl-citation.json"}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[22]</w:t>
            </w:r>
            <w:r>
              <w:rPr>
                <w:rFonts w:ascii="Times New Roman" w:eastAsia="Times New Roman" w:hAnsi="Times New Roman"/>
                <w:color w:val="000000"/>
                <w:sz w:val="18"/>
                <w:szCs w:val="20"/>
                <w:lang w:val="en-US" w:eastAsia="fr-FR"/>
              </w:rPr>
              <w:fldChar w:fldCharType="end"/>
            </w:r>
          </w:p>
        </w:tc>
        <w:tc>
          <w:tcPr>
            <w:tcW w:w="333" w:type="pct"/>
            <w:tcBorders>
              <w:top w:val="nil"/>
              <w:left w:val="nil"/>
              <w:bottom w:val="single" w:sz="4" w:space="0" w:color="auto"/>
              <w:right w:val="single" w:sz="4" w:space="0" w:color="auto"/>
            </w:tcBorders>
            <w:shd w:val="clear" w:color="auto" w:fill="auto"/>
            <w:textDirection w:val="btLr"/>
            <w:vAlign w:val="center"/>
          </w:tcPr>
          <w:p w14:paraId="1206ECCD"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tDLnP3pA","properties":{"formattedCitation":"[23]","plainCitation":"[23]","noteIndex":0},"citationItems":[{"id":"Tlgz5ME1/qVuImVNC","uris":["http://zotero.org/groups/2323309/items/DY2KLTX2"],"uri":["http://zotero.org/groups/2323309/items/DY2KLTX2"],"itemData":{"id":"Tlgz5ME1/qVuImVNC","type":"article-journal","abstract":"BACKGROUND: Frailty is a strong indicator of vulnerability among older persons, but its association with ICU outcomes has not been evaluated prospectively (ie, with objectivemeasurements obtained prior to ICU admission). Our objective was to prospectively evaluate the relationship between frailty and post-ICU disability, incident nursing home admission, and death. METHODS: The parent cohort included 754 adults aged &gt;= 70 years, who were evaluated monthly for disability in 13 functional activities and every 18 months for frailty (1998-2014). Frailty was assessed using the Fried index, where frailty, prefrailty, and nonfrailty were defined, respectively, as at least three, one or two, and zero criteria (of five). The analytic sample included 391 ICU admissions. RESULTS: The mean age was 84.0 years. Frailty and prefrailty were present prior to 213 (54.5%) and 140 (35.8%) of the 391 admissions, respectively. Relative to nonfrailty, frailty was associated with 41% greater disability over the 6 months following a critical illness (adjusted risk ratio, 1.41; 95% CI, 1.12-1.78); prefrailty conferred 28% greater disability (adjusted risk ratio, 1.28; 95% CI, 1.01-1.63). Frailty (odds ratio, 3.52; 95% CI, 1.23-10.08), but not prefrailty (odds ratio, 2.01; 95% CI, 0.77-5.24), was associated with increased nursing home admission. Each one-point increase in frailty count (range, 0-5) was associated with double the likelihood of death (hazard ratio, 2.00; 95% CI, 1.33-3.00) through 6 months of follow-up. CONCLUSIONS: Pre-ICU frailty status was associated with increased post-ICU disability and new nursing home admission among ICU survivors, and death among all admissions. Pre-ICU frailty status may provide prognostic information about outcomes after a critical illness.","container-title":"Chest","DOI":"10.1016/j.chest.2018.03.007","ISSN":"0012-3692","issue":"6","page":"1378-1386","title":"The Association of Frailty With Post-ICU Disability, Nursing Home Admission, and Mortality A Longitudinal Study","volume":"153","author":[{"family":"Ferrante","given":"Lauren E."},{"family":"Pisani","given":"Margaret A."},{"family":"Murphy","given":"Terrence E."},{"family":"Gahbauer","given":"Evelyne A."},{"family":"Leo-Summers","given":"Linda S."},{"family":"Gill","given":"Thomas M."}],"issued":{"date-parts":[["2018",6]]}}}],"schema":"https://github.com/citation-style-language/schema/raw/master/csl-citation.json"}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[23]</w:t>
            </w:r>
            <w:r>
              <w:rPr>
                <w:rFonts w:ascii="Times New Roman" w:eastAsia="Times New Roman" w:hAnsi="Times New Roman"/>
                <w:color w:val="000000"/>
                <w:sz w:val="18"/>
                <w:szCs w:val="20"/>
                <w:lang w:val="en-US" w:eastAsia="fr-FR"/>
              </w:rPr>
              <w:fldChar w:fldCharType="end"/>
            </w:r>
          </w:p>
        </w:tc>
        <w:tc>
          <w:tcPr>
            <w:tcW w:w="197" w:type="pct"/>
            <w:tcBorders>
              <w:top w:val="nil"/>
              <w:left w:val="nil"/>
              <w:bottom w:val="single" w:sz="4" w:space="0" w:color="auto"/>
              <w:right w:val="single" w:sz="4" w:space="0" w:color="auto"/>
            </w:tcBorders>
            <w:shd w:val="clear" w:color="auto" w:fill="auto"/>
            <w:textDirection w:val="btLr"/>
            <w:vAlign w:val="center"/>
          </w:tcPr>
          <w:p w14:paraId="2EB723E7"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cj8BxwUa","properties":{"formattedCitation":"[24]","plainCitation":"[24]","noteIndex":0},"citationItems":[{"id":"Tlgz5ME1/jIgbjt3N","uris":["http://zotero.org/groups/2323309/items/WKK5RUW4"],"uri":["http://zotero.org/groups/2323309/items/WKK5RUW4"],"itemData":{"id":"Tlgz5ME1/jIgbjt3N","type":"article-journal","abstract":"Objective: to investigate how frailty and frailty symptoms affect healthcare costs in older age longitudinally. Methods: data were gathered from a prospective cohort study in Saarland, Germany (two waves with 3-year interval, n = 1,636 aged 57-84 years at baseline). Frailty was assessed by the five Fried frailty criteria. Frailty was defined as having at least three criteria, the presence of 1-2 criteria as `pre-frail'. Healthcare costs were quantified based on self-reported healthcare use in the sectors of inpatient treatment, outpatient treatment, professional nursing care and informal care as well as the provision of pharmaceuticals, medical supplies and dental prostheses. Results: while the onset of pre-frailty did not increase (log) total healthcare costs after adjusting for potential confounders including comorbidity, progression from non-frailty to frailty was associated with an increase in total healthcare costs (for example, costs increased by similar to 54 and 101% if 3 and 4 or 5 symptoms were present, respectively). This association of frailty onset with increased healthcare costs was in particular observed in the inpatient sector and for informal nursing care. Among the frailty symptoms, the onset of exhaustion was associated with an increase in total healthcare costs, whereas changes in slowness, weakness, weight loss and low-physical activity were not significantly associated with an increase in total healthcare costs. Conclusions: our data stress the economic relevance of frailty in late life. Postponing or reducing frailty might be fruitful in order to reduce healthcare costs.","container-title":"Age and Ageing","DOI":"10.1093/ageing/afx157","ISSN":"0002-0729","issue":"2","page":"233-241","title":"Frailty and healthcare costs-longitudinal results of a prospective cohort study","volume":"47","author":[{"family":"Hajek","given":"Andre"},{"family":"Bock","given":"Jens-Oliver"},{"family":"Saum","given":"Kai-Uwe"},{"family":"Matschinger","given":"Herbert"},{"family":"Brenner","given":"Hermann"},{"family":"Holleczek","given":"Bernd"},{"family":"Haefeli","given":"Walter E."},{"family":"Heider","given":"Dirk"},{"family":"Koenig","given":"Hans-Helmut"}],"issued":{"date-parts":[["2018",3]]}}}],"schema":"https://github.com/citation-style-language/schema/raw/master/csl-citation.json"}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[24]</w:t>
            </w:r>
            <w:r>
              <w:rPr>
                <w:rFonts w:ascii="Times New Roman" w:eastAsia="Times New Roman" w:hAnsi="Times New Roman"/>
                <w:color w:val="000000"/>
                <w:sz w:val="18"/>
                <w:szCs w:val="20"/>
                <w:lang w:val="en-US" w:eastAsia="fr-FR"/>
              </w:rPr>
              <w:fldChar w:fldCharType="end"/>
            </w:r>
          </w:p>
        </w:tc>
        <w:tc>
          <w:tcPr>
            <w:tcW w:w="231" w:type="pct"/>
            <w:tcBorders>
              <w:top w:val="nil"/>
              <w:left w:val="nil"/>
              <w:bottom w:val="single" w:sz="4" w:space="0" w:color="auto"/>
              <w:right w:val="single" w:sz="4" w:space="0" w:color="auto"/>
            </w:tcBorders>
            <w:shd w:val="clear" w:color="auto" w:fill="auto"/>
            <w:textDirection w:val="btLr"/>
            <w:vAlign w:val="center"/>
          </w:tcPr>
          <w:p w14:paraId="42E92DEF" w14:textId="77777777" w:rsidR="00EE4BF0" w:rsidRPr="00E85D55" w:rsidRDefault="00EE4BF0" w:rsidP="007D1DAE">
            <w:pPr>
              <w:spacing w:after="0" w:line="240" w:lineRule="auto"/>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b7PlVdov","properties":{"formattedCitation":"[25]","plainCitation":"[25]","noteIndex":0},"citationItems":[{"id":"Tlgz5ME1/w8zQzNF6","uris":["http://zotero.org/groups/2323309/items/KM7X4SHD"],"uri":["http://zotero.org/groups/2323309/items/KM7X4SHD"],"itemData":{"id":"Tlgz5ME1/w8zQzNF6","type":"article-journal","abstract":"Objectives: This study examines different combinations of informal and formal care use of older adults and investigates whether these combinations differ in terms of need for care (physical and psychological frailty) and enabling factors for informal and formal care use (social and environmental frailty). Methods: Using cross-sectional data from the Belgian Ageing Studies (survey, N = 38,066 community-dwelling older adults), Latent Class Analysis (LCA) is used to identify combinations of informal and formal care use. Bivariate analyses are used to explore the relationship between the different combinations of care use and frailty. Results: Latent Class Analysis (LCA) identified 8 different types of care use, which vary in combinations of informal and formal caregivers. Older adults who are more likely to combine care from family and care from all types of formal caregivers are more physically, psychologically and environmentally frail than expected. Older adults who are more likely to receive care only from nuclear family, or only from formal caregivers are more socially frail than expected. Conclusions: Older adults with a higher need for care are more likely to receive care from different types of informal and formal caregivers. High environmental frailty and low social frailty are related with the use of care from different types of informal and formal caregivers. This study confirms that informal care can act as substitute for formal care. However, this substitute relationship becomes a complementary relationship in frail older adults. Policymakers should take into account that frailty in older adults affects the use of informal and formal care.","container-title":"ARCHIVES OF GERONTOLOGY AND GERIATRICS","DOI":"10.1016/j.archger.2018.05.018","ISSN":"0167-4943","page":"69-77","title":"Frailty differences in older adults' use of informal and formal care","volume":"79","author":[{"family":"Lambotte","given":"Deborah"},{"family":"De Donder","given":"Liesbeth"},{"family":"Van Regenmortel","given":"Sofie"},{"family":"Fret","given":"Bram"},{"family":"Dury","given":"Sarah"},{"family":"Smetcoren","given":"An-Sofie"},{"family":"Dierckx","given":"Eva"},{"family":"De Witte","given":"Nico"},{"family":"Verte","given":"Dominique"},{"family":"Kardol","given":"Martinus J. M."},{"family":"Consortium","given":"D.-SCOPE"}],"issued":{"date-parts":[["2018",12]]}}}],"schema":"https://github.com/citation-style-language/schema/raw/master/csl-citation.json"}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[25]</w:t>
            </w:r>
            <w:r>
              <w:rPr>
                <w:rFonts w:ascii="Times New Roman" w:eastAsia="Times New Roman" w:hAnsi="Times New Roman"/>
                <w:color w:val="000000"/>
                <w:sz w:val="18"/>
                <w:szCs w:val="20"/>
                <w:lang w:val="en-US" w:eastAsia="fr-FR"/>
              </w:rPr>
              <w:fldChar w:fldCharType="end"/>
            </w:r>
          </w:p>
        </w:tc>
        <w:tc>
          <w:tcPr>
            <w:tcW w:w="265" w:type="pct"/>
            <w:tcBorders>
              <w:top w:val="nil"/>
              <w:left w:val="nil"/>
              <w:bottom w:val="single" w:sz="4" w:space="0" w:color="auto"/>
              <w:right w:val="single" w:sz="4" w:space="0" w:color="auto"/>
            </w:tcBorders>
            <w:shd w:val="clear" w:color="auto" w:fill="auto"/>
            <w:textDirection w:val="btLr"/>
            <w:vAlign w:val="center"/>
          </w:tcPr>
          <w:p w14:paraId="0693FB93" w14:textId="77777777" w:rsidR="00EE4BF0" w:rsidRPr="00E85D55" w:rsidRDefault="00EE4BF0" w:rsidP="007D1DAE">
            <w:pPr>
              <w:spacing w:after="0" w:line="240" w:lineRule="auto"/>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efCcZq3O","properties":{"formattedCitation":"[26]","plainCitation":"[26]","noteIndex":0},"citationItems":[{"id":"Tlgz5ME1/rEvRhjP6","uris":["http://zotero.org/groups/2323309/items/2UZ657EB"],"uri":["http://zotero.org/groups/2323309/items/2UZ657EB"],"itemData":{"id":"Tlgz5ME1/rEvRhjP6","type":"article-journal","abstract":"The growth in the numbers of older adults needing long-term care has resulted in rising costs which have forced the Dutch government to change its long-term care system. Now, the local authorities have greater responsibility for supporting older adults and in prolonging independent living with increased support provided by the social network. However, it is unclear whether these older adults have such a network to rely upon. The objective of this study was to gain insight into the providers of formal and informal care to older adults, and to assess possible differences between older adults who are frail and those who are not. In addition, we investigated their care and support needs. We used data from a quantitative survey using a cross-sectional design in different regions of the Netherlands from July until September 2014 (n=181). Frailty was measured using the Tilburg Frailty indicator. To analyse the data chi-square tests, crosstabs and odds ratios were used for dichotomous data and the Mann-Whitney U-Test for nominal data. The number of formal care providers involved was significantly higher (median=2) for those deemed frail than for those not deemed frail (median=1), U=2,130, p&lt;.005. However, more than one-third of the respondents deemed frail did not get the care or support they needed (33.7%). There was a significant positive association between being frail and having an informal care provider ((2)=18.78, df=1, p&lt;.005). However, more than one-third of those deemed frail did not have an informal care provider (36.8%). One-third of older adults deemed to be frail did not have their needs sufficiently addressed by their care network. For a substantial part of this group of older adults, the informal network seems to be unable to support them sufficiently. Additional attention for their needs and wishes is required to implement the policy reforms successfully.","container-title":"Health &amp; Social Care in the Community","DOI":"10.1111/hsc.12539","ISSN":"0966-0410","issue":"3","page":"e404-e414","title":"Care and support for older adults in The Netherlands living independently","volume":"26","author":[{"family":"Verver","given":"Didi"},{"family":"Merten","given":"Hanneke"},{"family":"Robben","given":"Paul"},{"family":"Wagner","given":"Cordula"}],"issued":{"date-parts":[["2018",5]]}}}],"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[26]</w:t>
            </w:r>
            <w:r>
              <w:rPr>
                <w:rFonts w:ascii="Times New Roman" w:eastAsia="Times New Roman" w:hAnsi="Times New Roman"/>
                <w:color w:val="000000"/>
                <w:sz w:val="18"/>
                <w:szCs w:val="20"/>
                <w:lang w:val="en-US" w:eastAsia="fr-FR"/>
              </w:rPr>
              <w:fldChar w:fldCharType="end"/>
            </w:r>
          </w:p>
        </w:tc>
        <w:tc>
          <w:tcPr>
            <w:tcW w:w="290" w:type="pct"/>
            <w:tcBorders>
              <w:top w:val="nil"/>
              <w:left w:val="nil"/>
              <w:bottom w:val="single" w:sz="4" w:space="0" w:color="auto"/>
              <w:right w:val="single" w:sz="4" w:space="0" w:color="auto"/>
            </w:tcBorders>
            <w:textDirection w:val="btLr"/>
          </w:tcPr>
          <w:p w14:paraId="7626F065" w14:textId="77777777" w:rsidR="00EE4BF0" w:rsidRPr="00E85D55" w:rsidRDefault="00EE4BF0" w:rsidP="007D1DAE">
            <w:pPr>
              <w:spacing w:after="0" w:line="240" w:lineRule="auto"/>
              <w:jc w:val="center"/>
              <w:rPr>
                <w:rFonts w:ascii="Times New Roman" w:eastAsia="Times New Roman" w:hAnsi="Times New Roman"/>
                <w:color w:val="000000"/>
                <w:sz w:val="20"/>
                <w:szCs w:val="20"/>
                <w:lang w:val="en-US" w:eastAsia="fr-FR"/>
              </w:rPr>
            </w:pPr>
          </w:p>
        </w:tc>
      </w:tr>
      <w:tr w:rsidR="00EE4BF0" w:rsidRPr="00E85D55" w14:paraId="7D3AD478" w14:textId="77777777" w:rsidTr="007D1DAE">
        <w:trPr>
          <w:trHeight w:val="827"/>
        </w:trPr>
        <w:tc>
          <w:tcPr>
            <w:tcW w:w="106" w:type="pct"/>
            <w:tcBorders>
              <w:top w:val="nil"/>
              <w:left w:val="single" w:sz="4" w:space="0" w:color="auto"/>
              <w:bottom w:val="single" w:sz="4" w:space="0" w:color="auto"/>
              <w:right w:val="single" w:sz="4" w:space="0" w:color="auto"/>
            </w:tcBorders>
            <w:shd w:val="clear" w:color="000000" w:fill="F2F2F2"/>
            <w:noWrap/>
            <w:vAlign w:val="center"/>
          </w:tcPr>
          <w:p w14:paraId="32DA4819"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color w:val="000000"/>
                <w:sz w:val="20"/>
                <w:szCs w:val="20"/>
              </w:rPr>
              <w:t> </w:t>
            </w:r>
          </w:p>
        </w:tc>
        <w:tc>
          <w:tcPr>
            <w:tcW w:w="882" w:type="pct"/>
            <w:tcBorders>
              <w:top w:val="nil"/>
              <w:left w:val="nil"/>
              <w:bottom w:val="single" w:sz="4" w:space="0" w:color="auto"/>
              <w:right w:val="single" w:sz="4" w:space="0" w:color="auto"/>
            </w:tcBorders>
            <w:shd w:val="clear" w:color="000000" w:fill="F2F2F2"/>
            <w:noWrap/>
            <w:vAlign w:val="center"/>
          </w:tcPr>
          <w:p w14:paraId="7B0CB681"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Data</w:t>
            </w:r>
          </w:p>
        </w:tc>
        <w:tc>
          <w:tcPr>
            <w:tcW w:w="182" w:type="pct"/>
            <w:tcBorders>
              <w:top w:val="nil"/>
              <w:left w:val="nil"/>
              <w:bottom w:val="single" w:sz="4" w:space="0" w:color="auto"/>
              <w:right w:val="single" w:sz="4" w:space="0" w:color="auto"/>
            </w:tcBorders>
            <w:shd w:val="clear" w:color="000000" w:fill="F2F2F2"/>
            <w:vAlign w:val="center"/>
          </w:tcPr>
          <w:p w14:paraId="31C2616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4" w:type="pct"/>
            <w:tcBorders>
              <w:top w:val="nil"/>
              <w:left w:val="nil"/>
              <w:bottom w:val="single" w:sz="4" w:space="0" w:color="auto"/>
              <w:right w:val="single" w:sz="4" w:space="0" w:color="auto"/>
            </w:tcBorders>
            <w:shd w:val="clear" w:color="000000" w:fill="F2F2F2"/>
            <w:vAlign w:val="center"/>
          </w:tcPr>
          <w:p w14:paraId="091EC37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4" w:type="pct"/>
            <w:tcBorders>
              <w:top w:val="nil"/>
              <w:left w:val="nil"/>
              <w:bottom w:val="single" w:sz="4" w:space="0" w:color="auto"/>
              <w:right w:val="single" w:sz="4" w:space="0" w:color="auto"/>
            </w:tcBorders>
            <w:shd w:val="clear" w:color="000000" w:fill="F2F2F2"/>
            <w:vAlign w:val="center"/>
          </w:tcPr>
          <w:p w14:paraId="7C3CB3E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28" w:type="pct"/>
            <w:tcBorders>
              <w:top w:val="nil"/>
              <w:left w:val="nil"/>
              <w:bottom w:val="single" w:sz="4" w:space="0" w:color="auto"/>
              <w:right w:val="single" w:sz="4" w:space="0" w:color="auto"/>
            </w:tcBorders>
            <w:shd w:val="clear" w:color="000000" w:fill="F2F2F2"/>
            <w:vAlign w:val="center"/>
          </w:tcPr>
          <w:p w14:paraId="3FCE3CF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74" w:type="pct"/>
            <w:tcBorders>
              <w:top w:val="nil"/>
              <w:left w:val="nil"/>
              <w:bottom w:val="single" w:sz="4" w:space="0" w:color="auto"/>
              <w:right w:val="single" w:sz="4" w:space="0" w:color="auto"/>
            </w:tcBorders>
            <w:shd w:val="clear" w:color="000000" w:fill="F2F2F2"/>
            <w:vAlign w:val="center"/>
          </w:tcPr>
          <w:p w14:paraId="6605DBC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2" w:type="pct"/>
            <w:tcBorders>
              <w:top w:val="nil"/>
              <w:left w:val="nil"/>
              <w:bottom w:val="single" w:sz="4" w:space="0" w:color="auto"/>
              <w:right w:val="single" w:sz="4" w:space="0" w:color="auto"/>
            </w:tcBorders>
            <w:shd w:val="clear" w:color="000000" w:fill="F2F2F2"/>
            <w:vAlign w:val="center"/>
          </w:tcPr>
          <w:p w14:paraId="09CD011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74" w:type="pct"/>
            <w:tcBorders>
              <w:top w:val="nil"/>
              <w:left w:val="nil"/>
              <w:bottom w:val="single" w:sz="4" w:space="0" w:color="auto"/>
              <w:right w:val="single" w:sz="4" w:space="0" w:color="auto"/>
            </w:tcBorders>
            <w:shd w:val="clear" w:color="000000" w:fill="F2F2F2"/>
            <w:vAlign w:val="center"/>
          </w:tcPr>
          <w:p w14:paraId="18AE9D4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74" w:type="pct"/>
            <w:tcBorders>
              <w:top w:val="nil"/>
              <w:left w:val="nil"/>
              <w:bottom w:val="single" w:sz="4" w:space="0" w:color="auto"/>
              <w:right w:val="single" w:sz="4" w:space="0" w:color="auto"/>
            </w:tcBorders>
            <w:shd w:val="clear" w:color="000000" w:fill="F2F2F2"/>
            <w:vAlign w:val="center"/>
          </w:tcPr>
          <w:p w14:paraId="7DD3834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6" w:type="pct"/>
            <w:tcBorders>
              <w:top w:val="nil"/>
              <w:left w:val="nil"/>
              <w:bottom w:val="single" w:sz="4" w:space="0" w:color="auto"/>
              <w:right w:val="single" w:sz="4" w:space="0" w:color="auto"/>
            </w:tcBorders>
            <w:shd w:val="clear" w:color="000000" w:fill="F2F2F2"/>
            <w:vAlign w:val="center"/>
          </w:tcPr>
          <w:p w14:paraId="3661261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31" w:type="pct"/>
            <w:tcBorders>
              <w:top w:val="nil"/>
              <w:left w:val="nil"/>
              <w:bottom w:val="single" w:sz="4" w:space="0" w:color="auto"/>
              <w:right w:val="single" w:sz="4" w:space="0" w:color="auto"/>
            </w:tcBorders>
            <w:shd w:val="clear" w:color="000000" w:fill="F2F2F2"/>
            <w:vAlign w:val="center"/>
          </w:tcPr>
          <w:p w14:paraId="4800448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29" w:type="pct"/>
            <w:tcBorders>
              <w:top w:val="nil"/>
              <w:left w:val="nil"/>
              <w:bottom w:val="single" w:sz="4" w:space="0" w:color="auto"/>
              <w:right w:val="single" w:sz="4" w:space="0" w:color="auto"/>
            </w:tcBorders>
            <w:shd w:val="clear" w:color="000000" w:fill="F2F2F2"/>
            <w:vAlign w:val="center"/>
          </w:tcPr>
          <w:p w14:paraId="4D52FED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66" w:type="pct"/>
            <w:tcBorders>
              <w:top w:val="nil"/>
              <w:left w:val="nil"/>
              <w:bottom w:val="single" w:sz="4" w:space="0" w:color="auto"/>
              <w:right w:val="single" w:sz="4" w:space="0" w:color="auto"/>
            </w:tcBorders>
            <w:shd w:val="clear" w:color="000000" w:fill="F2F2F2"/>
            <w:vAlign w:val="center"/>
          </w:tcPr>
          <w:p w14:paraId="040820C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66" w:type="pct"/>
            <w:tcBorders>
              <w:top w:val="nil"/>
              <w:left w:val="nil"/>
              <w:bottom w:val="single" w:sz="4" w:space="0" w:color="auto"/>
              <w:right w:val="single" w:sz="4" w:space="0" w:color="auto"/>
            </w:tcBorders>
            <w:shd w:val="clear" w:color="000000" w:fill="F2F2F2"/>
            <w:vAlign w:val="center"/>
          </w:tcPr>
          <w:p w14:paraId="46DD55F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333" w:type="pct"/>
            <w:tcBorders>
              <w:top w:val="nil"/>
              <w:left w:val="nil"/>
              <w:bottom w:val="single" w:sz="4" w:space="0" w:color="auto"/>
              <w:right w:val="single" w:sz="4" w:space="0" w:color="auto"/>
            </w:tcBorders>
            <w:shd w:val="clear" w:color="000000" w:fill="F2F2F2"/>
            <w:vAlign w:val="center"/>
          </w:tcPr>
          <w:p w14:paraId="3438CED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7" w:type="pct"/>
            <w:tcBorders>
              <w:top w:val="nil"/>
              <w:left w:val="nil"/>
              <w:bottom w:val="single" w:sz="4" w:space="0" w:color="auto"/>
              <w:right w:val="single" w:sz="4" w:space="0" w:color="auto"/>
            </w:tcBorders>
            <w:shd w:val="clear" w:color="000000" w:fill="F2F2F2"/>
            <w:vAlign w:val="center"/>
          </w:tcPr>
          <w:p w14:paraId="0264A2B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31" w:type="pct"/>
            <w:tcBorders>
              <w:top w:val="nil"/>
              <w:left w:val="nil"/>
              <w:bottom w:val="single" w:sz="4" w:space="0" w:color="auto"/>
              <w:right w:val="single" w:sz="4" w:space="0" w:color="auto"/>
            </w:tcBorders>
            <w:shd w:val="clear" w:color="000000" w:fill="F2F2F2"/>
            <w:vAlign w:val="center"/>
          </w:tcPr>
          <w:p w14:paraId="69C41E2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65" w:type="pct"/>
            <w:tcBorders>
              <w:top w:val="nil"/>
              <w:left w:val="nil"/>
              <w:bottom w:val="single" w:sz="4" w:space="0" w:color="auto"/>
              <w:right w:val="single" w:sz="4" w:space="0" w:color="auto"/>
            </w:tcBorders>
            <w:shd w:val="clear" w:color="000000" w:fill="F2F2F2"/>
            <w:vAlign w:val="center"/>
          </w:tcPr>
          <w:p w14:paraId="23C6854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90" w:type="pct"/>
            <w:tcBorders>
              <w:top w:val="nil"/>
              <w:left w:val="nil"/>
              <w:bottom w:val="single" w:sz="4" w:space="0" w:color="auto"/>
              <w:right w:val="single" w:sz="4" w:space="0" w:color="auto"/>
            </w:tcBorders>
            <w:shd w:val="clear" w:color="000000" w:fill="F2F2F2"/>
          </w:tcPr>
          <w:p w14:paraId="11F4F3D4" w14:textId="77777777" w:rsidR="00EE4BF0" w:rsidRPr="00E85D55" w:rsidRDefault="00EE4BF0" w:rsidP="007D1DAE">
            <w:pPr>
              <w:spacing w:after="0" w:line="480" w:lineRule="auto"/>
              <w:jc w:val="center"/>
              <w:rPr>
                <w:rFonts w:ascii="Times New Roman" w:hAnsi="Times New Roman"/>
                <w:color w:val="000000"/>
                <w:sz w:val="20"/>
                <w:szCs w:val="20"/>
              </w:rPr>
            </w:pPr>
          </w:p>
        </w:tc>
      </w:tr>
      <w:tr w:rsidR="00EE4BF0" w:rsidRPr="00646ABB" w14:paraId="19967457" w14:textId="77777777" w:rsidTr="007D1DAE">
        <w:trPr>
          <w:trHeight w:val="270"/>
        </w:trPr>
        <w:tc>
          <w:tcPr>
            <w:tcW w:w="106" w:type="pct"/>
            <w:tcBorders>
              <w:top w:val="nil"/>
              <w:left w:val="single" w:sz="4" w:space="0" w:color="auto"/>
              <w:bottom w:val="single" w:sz="4" w:space="0" w:color="auto"/>
              <w:right w:val="single" w:sz="4" w:space="0" w:color="auto"/>
            </w:tcBorders>
            <w:shd w:val="clear" w:color="000000" w:fill="F2F2F2"/>
            <w:noWrap/>
            <w:vAlign w:val="center"/>
          </w:tcPr>
          <w:p w14:paraId="54F5F23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882" w:type="pct"/>
            <w:tcBorders>
              <w:top w:val="nil"/>
              <w:left w:val="nil"/>
              <w:bottom w:val="single" w:sz="4" w:space="0" w:color="auto"/>
              <w:right w:val="single" w:sz="4" w:space="0" w:color="auto"/>
            </w:tcBorders>
            <w:shd w:val="clear" w:color="000000" w:fill="F2F2F2"/>
            <w:noWrap/>
            <w:vAlign w:val="center"/>
          </w:tcPr>
          <w:p w14:paraId="7A5ABE56"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vertAlign w:val="superscript"/>
                <w:lang w:eastAsia="fr-FR"/>
              </w:rPr>
            </w:pPr>
            <w:r w:rsidRPr="00E85D55">
              <w:rPr>
                <w:rFonts w:ascii="Times New Roman" w:hAnsi="Times New Roman"/>
                <w:b/>
                <w:bCs/>
                <w:color w:val="000000"/>
                <w:sz w:val="20"/>
                <w:szCs w:val="20"/>
              </w:rPr>
              <w:t>Subscale score (0 to 3/4)</w:t>
            </w:r>
            <w:r w:rsidRPr="00E85D55">
              <w:rPr>
                <w:rFonts w:ascii="Times New Roman" w:hAnsi="Times New Roman"/>
                <w:b/>
                <w:bCs/>
                <w:color w:val="000000"/>
                <w:sz w:val="20"/>
                <w:szCs w:val="20"/>
                <w:vertAlign w:val="superscript"/>
              </w:rPr>
              <w:t>a</w:t>
            </w:r>
          </w:p>
        </w:tc>
        <w:tc>
          <w:tcPr>
            <w:tcW w:w="182" w:type="pct"/>
            <w:tcBorders>
              <w:top w:val="nil"/>
              <w:left w:val="nil"/>
              <w:bottom w:val="single" w:sz="4" w:space="0" w:color="auto"/>
              <w:right w:val="single" w:sz="4" w:space="0" w:color="auto"/>
            </w:tcBorders>
            <w:shd w:val="clear" w:color="000000" w:fill="F2F2F2"/>
            <w:noWrap/>
            <w:vAlign w:val="center"/>
          </w:tcPr>
          <w:p w14:paraId="0644E195"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194" w:type="pct"/>
            <w:tcBorders>
              <w:top w:val="nil"/>
              <w:left w:val="nil"/>
              <w:bottom w:val="single" w:sz="4" w:space="0" w:color="auto"/>
              <w:right w:val="single" w:sz="4" w:space="0" w:color="auto"/>
            </w:tcBorders>
            <w:shd w:val="clear" w:color="000000" w:fill="F2F2F2"/>
            <w:noWrap/>
            <w:vAlign w:val="center"/>
          </w:tcPr>
          <w:p w14:paraId="1B8EB9D1"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194" w:type="pct"/>
            <w:tcBorders>
              <w:top w:val="nil"/>
              <w:left w:val="nil"/>
              <w:bottom w:val="single" w:sz="4" w:space="0" w:color="auto"/>
              <w:right w:val="single" w:sz="4" w:space="0" w:color="auto"/>
            </w:tcBorders>
            <w:shd w:val="clear" w:color="000000" w:fill="F2F2F2"/>
            <w:noWrap/>
            <w:vAlign w:val="center"/>
          </w:tcPr>
          <w:p w14:paraId="4D7B529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228" w:type="pct"/>
            <w:tcBorders>
              <w:top w:val="nil"/>
              <w:left w:val="nil"/>
              <w:bottom w:val="single" w:sz="4" w:space="0" w:color="auto"/>
              <w:right w:val="single" w:sz="4" w:space="0" w:color="auto"/>
            </w:tcBorders>
            <w:shd w:val="clear" w:color="000000" w:fill="F2F2F2"/>
            <w:noWrap/>
            <w:vAlign w:val="center"/>
          </w:tcPr>
          <w:p w14:paraId="0F1CC952"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174" w:type="pct"/>
            <w:tcBorders>
              <w:top w:val="nil"/>
              <w:left w:val="nil"/>
              <w:bottom w:val="single" w:sz="4" w:space="0" w:color="auto"/>
              <w:right w:val="single" w:sz="4" w:space="0" w:color="auto"/>
            </w:tcBorders>
            <w:shd w:val="clear" w:color="000000" w:fill="F2F2F2"/>
            <w:noWrap/>
            <w:vAlign w:val="center"/>
          </w:tcPr>
          <w:p w14:paraId="5E640D6D"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192" w:type="pct"/>
            <w:tcBorders>
              <w:top w:val="nil"/>
              <w:left w:val="nil"/>
              <w:bottom w:val="single" w:sz="4" w:space="0" w:color="auto"/>
              <w:right w:val="single" w:sz="4" w:space="0" w:color="auto"/>
            </w:tcBorders>
            <w:shd w:val="clear" w:color="000000" w:fill="F2F2F2"/>
            <w:noWrap/>
            <w:vAlign w:val="center"/>
          </w:tcPr>
          <w:p w14:paraId="3F64091B"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174" w:type="pct"/>
            <w:tcBorders>
              <w:top w:val="nil"/>
              <w:left w:val="nil"/>
              <w:bottom w:val="single" w:sz="4" w:space="0" w:color="auto"/>
              <w:right w:val="single" w:sz="4" w:space="0" w:color="auto"/>
            </w:tcBorders>
            <w:shd w:val="clear" w:color="000000" w:fill="F2F2F2"/>
            <w:noWrap/>
            <w:vAlign w:val="center"/>
          </w:tcPr>
          <w:p w14:paraId="7BBE29F8"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174" w:type="pct"/>
            <w:tcBorders>
              <w:top w:val="nil"/>
              <w:left w:val="nil"/>
              <w:bottom w:val="single" w:sz="4" w:space="0" w:color="auto"/>
              <w:right w:val="single" w:sz="4" w:space="0" w:color="auto"/>
            </w:tcBorders>
            <w:shd w:val="clear" w:color="000000" w:fill="F2F2F2"/>
            <w:noWrap/>
            <w:vAlign w:val="center"/>
          </w:tcPr>
          <w:p w14:paraId="495D1524"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2</w:t>
            </w:r>
          </w:p>
        </w:tc>
        <w:tc>
          <w:tcPr>
            <w:tcW w:w="196" w:type="pct"/>
            <w:tcBorders>
              <w:top w:val="nil"/>
              <w:left w:val="nil"/>
              <w:bottom w:val="single" w:sz="4" w:space="0" w:color="auto"/>
              <w:right w:val="single" w:sz="4" w:space="0" w:color="auto"/>
            </w:tcBorders>
            <w:shd w:val="clear" w:color="000000" w:fill="F2F2F2"/>
            <w:noWrap/>
            <w:vAlign w:val="center"/>
          </w:tcPr>
          <w:p w14:paraId="1300DE46"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231" w:type="pct"/>
            <w:tcBorders>
              <w:top w:val="nil"/>
              <w:left w:val="nil"/>
              <w:bottom w:val="single" w:sz="4" w:space="0" w:color="auto"/>
              <w:right w:val="single" w:sz="4" w:space="0" w:color="auto"/>
            </w:tcBorders>
            <w:shd w:val="clear" w:color="000000" w:fill="F2F2F2"/>
            <w:noWrap/>
            <w:vAlign w:val="center"/>
          </w:tcPr>
          <w:p w14:paraId="235BCEE4"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229" w:type="pct"/>
            <w:tcBorders>
              <w:top w:val="nil"/>
              <w:left w:val="nil"/>
              <w:bottom w:val="single" w:sz="4" w:space="0" w:color="auto"/>
              <w:right w:val="single" w:sz="4" w:space="0" w:color="auto"/>
            </w:tcBorders>
            <w:shd w:val="clear" w:color="000000" w:fill="F2F2F2"/>
            <w:noWrap/>
            <w:vAlign w:val="center"/>
          </w:tcPr>
          <w:p w14:paraId="141CC1CB"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266" w:type="pct"/>
            <w:tcBorders>
              <w:top w:val="nil"/>
              <w:left w:val="nil"/>
              <w:bottom w:val="single" w:sz="4" w:space="0" w:color="auto"/>
              <w:right w:val="single" w:sz="4" w:space="0" w:color="auto"/>
            </w:tcBorders>
            <w:shd w:val="clear" w:color="000000" w:fill="F2F2F2"/>
            <w:noWrap/>
            <w:vAlign w:val="center"/>
          </w:tcPr>
          <w:p w14:paraId="2E434EBB"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266" w:type="pct"/>
            <w:tcBorders>
              <w:top w:val="nil"/>
              <w:left w:val="nil"/>
              <w:bottom w:val="single" w:sz="4" w:space="0" w:color="auto"/>
              <w:right w:val="single" w:sz="4" w:space="0" w:color="auto"/>
            </w:tcBorders>
            <w:shd w:val="clear" w:color="000000" w:fill="F2F2F2"/>
            <w:noWrap/>
            <w:vAlign w:val="center"/>
          </w:tcPr>
          <w:p w14:paraId="6730286F"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333" w:type="pct"/>
            <w:tcBorders>
              <w:top w:val="nil"/>
              <w:left w:val="nil"/>
              <w:bottom w:val="single" w:sz="4" w:space="0" w:color="auto"/>
              <w:right w:val="single" w:sz="4" w:space="0" w:color="auto"/>
            </w:tcBorders>
            <w:shd w:val="clear" w:color="000000" w:fill="F2F2F2"/>
            <w:noWrap/>
            <w:vAlign w:val="center"/>
          </w:tcPr>
          <w:p w14:paraId="3D8C159F"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197" w:type="pct"/>
            <w:tcBorders>
              <w:top w:val="nil"/>
              <w:left w:val="nil"/>
              <w:bottom w:val="single" w:sz="4" w:space="0" w:color="auto"/>
              <w:right w:val="single" w:sz="4" w:space="0" w:color="auto"/>
            </w:tcBorders>
            <w:shd w:val="clear" w:color="000000" w:fill="F2F2F2"/>
            <w:noWrap/>
            <w:vAlign w:val="center"/>
          </w:tcPr>
          <w:p w14:paraId="422652CC"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231" w:type="pct"/>
            <w:tcBorders>
              <w:top w:val="nil"/>
              <w:left w:val="nil"/>
              <w:bottom w:val="single" w:sz="4" w:space="0" w:color="auto"/>
              <w:right w:val="single" w:sz="4" w:space="0" w:color="auto"/>
            </w:tcBorders>
            <w:shd w:val="clear" w:color="000000" w:fill="F2F2F2"/>
            <w:noWrap/>
            <w:vAlign w:val="center"/>
          </w:tcPr>
          <w:p w14:paraId="53433460"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265" w:type="pct"/>
            <w:tcBorders>
              <w:top w:val="nil"/>
              <w:left w:val="nil"/>
              <w:bottom w:val="single" w:sz="4" w:space="0" w:color="auto"/>
              <w:right w:val="single" w:sz="4" w:space="0" w:color="auto"/>
            </w:tcBorders>
            <w:shd w:val="clear" w:color="000000" w:fill="F2F2F2"/>
            <w:noWrap/>
            <w:vAlign w:val="center"/>
          </w:tcPr>
          <w:p w14:paraId="543D1FA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290" w:type="pct"/>
            <w:tcBorders>
              <w:top w:val="nil"/>
              <w:left w:val="nil"/>
              <w:bottom w:val="single" w:sz="4" w:space="0" w:color="auto"/>
              <w:right w:val="single" w:sz="4" w:space="0" w:color="auto"/>
            </w:tcBorders>
            <w:shd w:val="clear" w:color="000000" w:fill="F2F2F2"/>
          </w:tcPr>
          <w:p w14:paraId="47F49FF6" w14:textId="77777777" w:rsidR="00EE4BF0" w:rsidRPr="00E85D55" w:rsidRDefault="00EE4BF0" w:rsidP="007D1DAE">
            <w:pPr>
              <w:spacing w:after="0" w:line="480" w:lineRule="auto"/>
              <w:jc w:val="center"/>
              <w:rPr>
                <w:rFonts w:ascii="Times New Roman" w:hAnsi="Times New Roman"/>
                <w:b/>
                <w:bCs/>
                <w:color w:val="000000"/>
                <w:sz w:val="20"/>
                <w:szCs w:val="20"/>
                <w:lang w:val="en-US"/>
              </w:rPr>
            </w:pPr>
            <w:r w:rsidRPr="00E85D55">
              <w:rPr>
                <w:rFonts w:ascii="Times New Roman" w:hAnsi="Times New Roman"/>
                <w:b/>
                <w:bCs/>
                <w:color w:val="000000"/>
                <w:sz w:val="20"/>
                <w:szCs w:val="20"/>
                <w:lang w:val="en-US"/>
              </w:rPr>
              <w:t>Average score : 3/3 if Q3 = NA</w:t>
            </w:r>
          </w:p>
          <w:p w14:paraId="0EA98D17" w14:textId="77777777" w:rsidR="00EE4BF0" w:rsidRPr="00E85D55" w:rsidRDefault="00EE4BF0" w:rsidP="007D1DAE">
            <w:pPr>
              <w:spacing w:after="0" w:line="480" w:lineRule="auto"/>
              <w:jc w:val="center"/>
              <w:rPr>
                <w:rFonts w:ascii="Times New Roman" w:hAnsi="Times New Roman"/>
                <w:b/>
                <w:bCs/>
                <w:color w:val="000000"/>
                <w:sz w:val="20"/>
                <w:szCs w:val="20"/>
                <w:lang w:val="en-US"/>
              </w:rPr>
            </w:pPr>
            <w:r w:rsidRPr="00E85D55">
              <w:rPr>
                <w:rFonts w:ascii="Times New Roman" w:hAnsi="Times New Roman"/>
                <w:b/>
                <w:bCs/>
                <w:color w:val="000000"/>
                <w:sz w:val="20"/>
                <w:szCs w:val="20"/>
                <w:lang w:val="en-US"/>
              </w:rPr>
              <w:t>2,9/4 if Q4 = 1</w:t>
            </w:r>
          </w:p>
        </w:tc>
      </w:tr>
      <w:tr w:rsidR="00EE4BF0" w:rsidRPr="00E85D55" w14:paraId="7B1896C6" w14:textId="77777777" w:rsidTr="007D1DAE">
        <w:trPr>
          <w:trHeight w:val="540"/>
        </w:trPr>
        <w:tc>
          <w:tcPr>
            <w:tcW w:w="106" w:type="pct"/>
            <w:tcBorders>
              <w:top w:val="nil"/>
              <w:left w:val="single" w:sz="4" w:space="0" w:color="auto"/>
              <w:bottom w:val="single" w:sz="4" w:space="0" w:color="auto"/>
              <w:right w:val="single" w:sz="4" w:space="0" w:color="auto"/>
            </w:tcBorders>
            <w:shd w:val="clear" w:color="000000" w:fill="FFFFFF"/>
            <w:noWrap/>
            <w:vAlign w:val="center"/>
          </w:tcPr>
          <w:p w14:paraId="3BF9DDE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882" w:type="pct"/>
            <w:tcBorders>
              <w:top w:val="nil"/>
              <w:left w:val="nil"/>
              <w:bottom w:val="single" w:sz="4" w:space="0" w:color="auto"/>
              <w:right w:val="single" w:sz="4" w:space="0" w:color="auto"/>
            </w:tcBorders>
            <w:shd w:val="clear" w:color="000000" w:fill="FFFFFF"/>
            <w:vAlign w:val="center"/>
          </w:tcPr>
          <w:p w14:paraId="7BC3F9B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Were the data sources sufficient to support the study?</w:t>
            </w:r>
          </w:p>
        </w:tc>
        <w:tc>
          <w:tcPr>
            <w:tcW w:w="182" w:type="pct"/>
            <w:tcBorders>
              <w:top w:val="nil"/>
              <w:left w:val="nil"/>
              <w:bottom w:val="single" w:sz="4" w:space="0" w:color="auto"/>
              <w:right w:val="single" w:sz="4" w:space="0" w:color="auto"/>
            </w:tcBorders>
            <w:shd w:val="clear" w:color="000000" w:fill="FFFFFF"/>
            <w:noWrap/>
            <w:vAlign w:val="center"/>
          </w:tcPr>
          <w:p w14:paraId="285067F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tcPr>
          <w:p w14:paraId="2FB0E09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tcPr>
          <w:p w14:paraId="2FA40E3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8" w:type="pct"/>
            <w:tcBorders>
              <w:top w:val="nil"/>
              <w:left w:val="nil"/>
              <w:bottom w:val="single" w:sz="4" w:space="0" w:color="auto"/>
              <w:right w:val="single" w:sz="4" w:space="0" w:color="auto"/>
            </w:tcBorders>
            <w:shd w:val="clear" w:color="000000" w:fill="FFFFFF"/>
            <w:noWrap/>
            <w:vAlign w:val="center"/>
          </w:tcPr>
          <w:p w14:paraId="43C2314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tcPr>
          <w:p w14:paraId="0BE8DD0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tcPr>
          <w:p w14:paraId="7F7397B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tcPr>
          <w:p w14:paraId="10909A0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tcPr>
          <w:p w14:paraId="1671E84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6" w:type="pct"/>
            <w:tcBorders>
              <w:top w:val="nil"/>
              <w:left w:val="nil"/>
              <w:bottom w:val="single" w:sz="4" w:space="0" w:color="auto"/>
              <w:right w:val="single" w:sz="4" w:space="0" w:color="auto"/>
            </w:tcBorders>
            <w:shd w:val="clear" w:color="000000" w:fill="FFFFFF"/>
            <w:noWrap/>
            <w:vAlign w:val="center"/>
          </w:tcPr>
          <w:p w14:paraId="2AE85DD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tcPr>
          <w:p w14:paraId="2F657CA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tcPr>
          <w:p w14:paraId="636B708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tcPr>
          <w:p w14:paraId="2BC7BEE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tcPr>
          <w:p w14:paraId="28F4A7E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33" w:type="pct"/>
            <w:tcBorders>
              <w:top w:val="nil"/>
              <w:left w:val="nil"/>
              <w:bottom w:val="single" w:sz="4" w:space="0" w:color="auto"/>
              <w:right w:val="single" w:sz="4" w:space="0" w:color="auto"/>
            </w:tcBorders>
            <w:shd w:val="clear" w:color="000000" w:fill="FFFFFF"/>
            <w:noWrap/>
            <w:vAlign w:val="center"/>
          </w:tcPr>
          <w:p w14:paraId="4CD9EA8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7" w:type="pct"/>
            <w:tcBorders>
              <w:top w:val="nil"/>
              <w:left w:val="nil"/>
              <w:bottom w:val="single" w:sz="4" w:space="0" w:color="auto"/>
              <w:right w:val="single" w:sz="4" w:space="0" w:color="auto"/>
            </w:tcBorders>
            <w:shd w:val="clear" w:color="000000" w:fill="FFFFFF"/>
            <w:noWrap/>
            <w:vAlign w:val="center"/>
          </w:tcPr>
          <w:p w14:paraId="5F085F2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tcPr>
          <w:p w14:paraId="5F36D73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5" w:type="pct"/>
            <w:tcBorders>
              <w:top w:val="nil"/>
              <w:left w:val="nil"/>
              <w:bottom w:val="single" w:sz="4" w:space="0" w:color="auto"/>
              <w:right w:val="single" w:sz="4" w:space="0" w:color="auto"/>
            </w:tcBorders>
            <w:shd w:val="clear" w:color="000000" w:fill="FFFFFF"/>
            <w:noWrap/>
            <w:vAlign w:val="center"/>
          </w:tcPr>
          <w:p w14:paraId="55EA815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90" w:type="pct"/>
            <w:tcBorders>
              <w:top w:val="nil"/>
              <w:left w:val="nil"/>
              <w:bottom w:val="single" w:sz="4" w:space="0" w:color="auto"/>
              <w:right w:val="single" w:sz="4" w:space="0" w:color="auto"/>
            </w:tcBorders>
            <w:shd w:val="clear" w:color="000000" w:fill="FFFFFF"/>
          </w:tcPr>
          <w:p w14:paraId="206FC656"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16</w:t>
            </w:r>
          </w:p>
        </w:tc>
      </w:tr>
      <w:tr w:rsidR="00EE4BF0" w:rsidRPr="00E85D55" w14:paraId="1BC09B20" w14:textId="77777777" w:rsidTr="007D1DAE">
        <w:trPr>
          <w:trHeight w:val="1351"/>
        </w:trPr>
        <w:tc>
          <w:tcPr>
            <w:tcW w:w="106" w:type="pct"/>
            <w:tcBorders>
              <w:top w:val="nil"/>
              <w:left w:val="single" w:sz="4" w:space="0" w:color="auto"/>
              <w:bottom w:val="single" w:sz="4" w:space="0" w:color="auto"/>
              <w:right w:val="single" w:sz="4" w:space="0" w:color="auto"/>
            </w:tcBorders>
            <w:shd w:val="clear" w:color="000000" w:fill="FFFFFF"/>
            <w:noWrap/>
            <w:vAlign w:val="center"/>
          </w:tcPr>
          <w:p w14:paraId="795D195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lastRenderedPageBreak/>
              <w:t>2</w:t>
            </w:r>
          </w:p>
        </w:tc>
        <w:tc>
          <w:tcPr>
            <w:tcW w:w="882" w:type="pct"/>
            <w:tcBorders>
              <w:top w:val="nil"/>
              <w:left w:val="nil"/>
              <w:bottom w:val="single" w:sz="4" w:space="0" w:color="auto"/>
              <w:right w:val="single" w:sz="4" w:space="0" w:color="auto"/>
            </w:tcBorders>
            <w:shd w:val="clear" w:color="000000" w:fill="FFFFFF"/>
            <w:vAlign w:val="center"/>
          </w:tcPr>
          <w:p w14:paraId="03A2491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Was exposure defined and measured in a valid way?</w:t>
            </w:r>
          </w:p>
        </w:tc>
        <w:tc>
          <w:tcPr>
            <w:tcW w:w="182" w:type="pct"/>
            <w:tcBorders>
              <w:top w:val="nil"/>
              <w:left w:val="nil"/>
              <w:bottom w:val="single" w:sz="4" w:space="0" w:color="auto"/>
              <w:right w:val="single" w:sz="4" w:space="0" w:color="auto"/>
            </w:tcBorders>
            <w:shd w:val="clear" w:color="000000" w:fill="FFFFFF"/>
            <w:noWrap/>
            <w:vAlign w:val="center"/>
          </w:tcPr>
          <w:p w14:paraId="03D9F40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tcPr>
          <w:p w14:paraId="5B72BA9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tcPr>
          <w:p w14:paraId="5B6DA9E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8" w:type="pct"/>
            <w:tcBorders>
              <w:top w:val="nil"/>
              <w:left w:val="nil"/>
              <w:bottom w:val="single" w:sz="4" w:space="0" w:color="auto"/>
              <w:right w:val="single" w:sz="4" w:space="0" w:color="auto"/>
            </w:tcBorders>
            <w:shd w:val="clear" w:color="000000" w:fill="FFFFFF"/>
            <w:noWrap/>
            <w:vAlign w:val="center"/>
          </w:tcPr>
          <w:p w14:paraId="191B8B0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tcPr>
          <w:p w14:paraId="50B0BD3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tcPr>
          <w:p w14:paraId="2758D47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tcPr>
          <w:p w14:paraId="15DC4E2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tcPr>
          <w:p w14:paraId="3FAFBF8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6" w:type="pct"/>
            <w:tcBorders>
              <w:top w:val="nil"/>
              <w:left w:val="nil"/>
              <w:bottom w:val="single" w:sz="4" w:space="0" w:color="auto"/>
              <w:right w:val="single" w:sz="4" w:space="0" w:color="auto"/>
            </w:tcBorders>
            <w:shd w:val="clear" w:color="000000" w:fill="FFFFFF"/>
            <w:noWrap/>
            <w:vAlign w:val="center"/>
          </w:tcPr>
          <w:p w14:paraId="5452A9A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tcPr>
          <w:p w14:paraId="02444EA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tcPr>
          <w:p w14:paraId="118B343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tcPr>
          <w:p w14:paraId="245EF50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tcPr>
          <w:p w14:paraId="69E9FBB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33" w:type="pct"/>
            <w:tcBorders>
              <w:top w:val="nil"/>
              <w:left w:val="nil"/>
              <w:bottom w:val="single" w:sz="4" w:space="0" w:color="auto"/>
              <w:right w:val="single" w:sz="4" w:space="0" w:color="auto"/>
            </w:tcBorders>
            <w:shd w:val="clear" w:color="000000" w:fill="FFFFFF"/>
            <w:noWrap/>
            <w:vAlign w:val="center"/>
          </w:tcPr>
          <w:p w14:paraId="506B230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7" w:type="pct"/>
            <w:tcBorders>
              <w:top w:val="nil"/>
              <w:left w:val="nil"/>
              <w:bottom w:val="single" w:sz="4" w:space="0" w:color="auto"/>
              <w:right w:val="single" w:sz="4" w:space="0" w:color="auto"/>
            </w:tcBorders>
            <w:shd w:val="clear" w:color="000000" w:fill="FFFFFF"/>
            <w:noWrap/>
            <w:vAlign w:val="center"/>
          </w:tcPr>
          <w:p w14:paraId="392AB0A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tcPr>
          <w:p w14:paraId="35C902D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5" w:type="pct"/>
            <w:tcBorders>
              <w:top w:val="nil"/>
              <w:left w:val="nil"/>
              <w:bottom w:val="single" w:sz="4" w:space="0" w:color="auto"/>
              <w:right w:val="single" w:sz="4" w:space="0" w:color="auto"/>
            </w:tcBorders>
            <w:shd w:val="clear" w:color="000000" w:fill="FFFFFF"/>
            <w:noWrap/>
            <w:vAlign w:val="center"/>
          </w:tcPr>
          <w:p w14:paraId="7B7DCC3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90" w:type="pct"/>
            <w:tcBorders>
              <w:top w:val="nil"/>
              <w:left w:val="nil"/>
              <w:bottom w:val="single" w:sz="4" w:space="0" w:color="auto"/>
              <w:right w:val="single" w:sz="4" w:space="0" w:color="auto"/>
            </w:tcBorders>
            <w:shd w:val="clear" w:color="000000" w:fill="FFFFFF"/>
          </w:tcPr>
          <w:p w14:paraId="24102DFA"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17</w:t>
            </w:r>
          </w:p>
        </w:tc>
      </w:tr>
      <w:tr w:rsidR="00EE4BF0" w:rsidRPr="00E85D55" w14:paraId="0DAE89D5" w14:textId="77777777" w:rsidTr="007D1DAE">
        <w:trPr>
          <w:trHeight w:val="1081"/>
        </w:trPr>
        <w:tc>
          <w:tcPr>
            <w:tcW w:w="106" w:type="pct"/>
            <w:tcBorders>
              <w:top w:val="nil"/>
              <w:left w:val="single" w:sz="4" w:space="0" w:color="auto"/>
              <w:bottom w:val="single" w:sz="4" w:space="0" w:color="auto"/>
              <w:right w:val="single" w:sz="4" w:space="0" w:color="auto"/>
            </w:tcBorders>
            <w:shd w:val="clear" w:color="000000" w:fill="FFFFFF"/>
            <w:noWrap/>
            <w:vAlign w:val="center"/>
          </w:tcPr>
          <w:p w14:paraId="470BE32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3</w:t>
            </w:r>
          </w:p>
        </w:tc>
        <w:tc>
          <w:tcPr>
            <w:tcW w:w="882" w:type="pct"/>
            <w:tcBorders>
              <w:top w:val="nil"/>
              <w:left w:val="nil"/>
              <w:bottom w:val="single" w:sz="4" w:space="0" w:color="auto"/>
              <w:right w:val="single" w:sz="4" w:space="0" w:color="auto"/>
            </w:tcBorders>
            <w:shd w:val="clear" w:color="000000" w:fill="FFFFFF"/>
            <w:vAlign w:val="center"/>
          </w:tcPr>
          <w:p w14:paraId="2E1648C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Were the primary outcomes defined and measured in a valid way?</w:t>
            </w:r>
          </w:p>
        </w:tc>
        <w:tc>
          <w:tcPr>
            <w:tcW w:w="182" w:type="pct"/>
            <w:tcBorders>
              <w:top w:val="nil"/>
              <w:left w:val="nil"/>
              <w:bottom w:val="single" w:sz="4" w:space="0" w:color="auto"/>
              <w:right w:val="single" w:sz="4" w:space="0" w:color="auto"/>
            </w:tcBorders>
            <w:shd w:val="clear" w:color="000000" w:fill="FFFFFF"/>
            <w:noWrap/>
            <w:vAlign w:val="center"/>
          </w:tcPr>
          <w:p w14:paraId="27F2CC9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tcPr>
          <w:p w14:paraId="289E9B1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tcPr>
          <w:p w14:paraId="67B06E9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8" w:type="pct"/>
            <w:tcBorders>
              <w:top w:val="nil"/>
              <w:left w:val="nil"/>
              <w:bottom w:val="single" w:sz="4" w:space="0" w:color="auto"/>
              <w:right w:val="single" w:sz="4" w:space="0" w:color="auto"/>
            </w:tcBorders>
            <w:shd w:val="clear" w:color="000000" w:fill="FFFFFF"/>
            <w:noWrap/>
            <w:vAlign w:val="center"/>
          </w:tcPr>
          <w:p w14:paraId="76904BC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tcPr>
          <w:p w14:paraId="18B8343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tcPr>
          <w:p w14:paraId="6DB6EB1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tcPr>
          <w:p w14:paraId="1D654FB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tcPr>
          <w:p w14:paraId="52AFACE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6" w:type="pct"/>
            <w:tcBorders>
              <w:top w:val="nil"/>
              <w:left w:val="nil"/>
              <w:bottom w:val="single" w:sz="4" w:space="0" w:color="auto"/>
              <w:right w:val="single" w:sz="4" w:space="0" w:color="auto"/>
            </w:tcBorders>
            <w:shd w:val="clear" w:color="000000" w:fill="FFFFFF"/>
            <w:noWrap/>
            <w:vAlign w:val="center"/>
          </w:tcPr>
          <w:p w14:paraId="3888946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tcPr>
          <w:p w14:paraId="6AB0EFC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tcPr>
          <w:p w14:paraId="20EB9B6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tcPr>
          <w:p w14:paraId="09B4BC4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tcPr>
          <w:p w14:paraId="75A7695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33" w:type="pct"/>
            <w:tcBorders>
              <w:top w:val="nil"/>
              <w:left w:val="nil"/>
              <w:bottom w:val="single" w:sz="4" w:space="0" w:color="auto"/>
              <w:right w:val="single" w:sz="4" w:space="0" w:color="auto"/>
            </w:tcBorders>
            <w:shd w:val="clear" w:color="000000" w:fill="FFFFFF"/>
            <w:noWrap/>
            <w:vAlign w:val="center"/>
          </w:tcPr>
          <w:p w14:paraId="328163B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7" w:type="pct"/>
            <w:tcBorders>
              <w:top w:val="nil"/>
              <w:left w:val="nil"/>
              <w:bottom w:val="single" w:sz="4" w:space="0" w:color="auto"/>
              <w:right w:val="single" w:sz="4" w:space="0" w:color="auto"/>
            </w:tcBorders>
            <w:shd w:val="clear" w:color="000000" w:fill="FFFFFF"/>
            <w:noWrap/>
            <w:vAlign w:val="center"/>
          </w:tcPr>
          <w:p w14:paraId="28DAF1A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tcPr>
          <w:p w14:paraId="7275071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5" w:type="pct"/>
            <w:tcBorders>
              <w:top w:val="nil"/>
              <w:left w:val="nil"/>
              <w:bottom w:val="single" w:sz="4" w:space="0" w:color="auto"/>
              <w:right w:val="single" w:sz="4" w:space="0" w:color="auto"/>
            </w:tcBorders>
            <w:shd w:val="clear" w:color="000000" w:fill="FFFFFF"/>
            <w:noWrap/>
            <w:vAlign w:val="center"/>
          </w:tcPr>
          <w:p w14:paraId="0E9D76B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90" w:type="pct"/>
            <w:tcBorders>
              <w:top w:val="nil"/>
              <w:left w:val="nil"/>
              <w:bottom w:val="single" w:sz="4" w:space="0" w:color="auto"/>
              <w:right w:val="single" w:sz="4" w:space="0" w:color="auto"/>
            </w:tcBorders>
            <w:shd w:val="clear" w:color="000000" w:fill="FFFFFF"/>
          </w:tcPr>
          <w:p w14:paraId="49DF117B"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17</w:t>
            </w:r>
          </w:p>
        </w:tc>
      </w:tr>
      <w:tr w:rsidR="00EE4BF0" w:rsidRPr="00E85D55" w14:paraId="2CADA459" w14:textId="77777777" w:rsidTr="007D1DAE">
        <w:trPr>
          <w:trHeight w:val="811"/>
        </w:trPr>
        <w:tc>
          <w:tcPr>
            <w:tcW w:w="106" w:type="pct"/>
            <w:tcBorders>
              <w:top w:val="nil"/>
              <w:left w:val="single" w:sz="4" w:space="0" w:color="auto"/>
              <w:bottom w:val="single" w:sz="4" w:space="0" w:color="auto"/>
              <w:right w:val="single" w:sz="4" w:space="0" w:color="auto"/>
            </w:tcBorders>
            <w:shd w:val="clear" w:color="000000" w:fill="FFFFFF"/>
            <w:noWrap/>
            <w:vAlign w:val="center"/>
          </w:tcPr>
          <w:p w14:paraId="7BEA644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4</w:t>
            </w:r>
          </w:p>
        </w:tc>
        <w:tc>
          <w:tcPr>
            <w:tcW w:w="882" w:type="pct"/>
            <w:tcBorders>
              <w:top w:val="nil"/>
              <w:left w:val="nil"/>
              <w:bottom w:val="single" w:sz="4" w:space="0" w:color="auto"/>
              <w:right w:val="single" w:sz="4" w:space="0" w:color="auto"/>
            </w:tcBorders>
            <w:shd w:val="clear" w:color="000000" w:fill="FFFFFF"/>
            <w:vAlign w:val="center"/>
          </w:tcPr>
          <w:p w14:paraId="6A16D97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Was the follow-up time similar among comparison groups or were the differences in follow-up accounted for in the analyses?</w:t>
            </w:r>
          </w:p>
        </w:tc>
        <w:tc>
          <w:tcPr>
            <w:tcW w:w="182" w:type="pct"/>
            <w:tcBorders>
              <w:top w:val="nil"/>
              <w:left w:val="nil"/>
              <w:bottom w:val="single" w:sz="4" w:space="0" w:color="auto"/>
              <w:right w:val="single" w:sz="4" w:space="0" w:color="auto"/>
            </w:tcBorders>
            <w:shd w:val="clear" w:color="000000" w:fill="FFFFFF"/>
            <w:noWrap/>
            <w:vAlign w:val="center"/>
          </w:tcPr>
          <w:p w14:paraId="09A11E2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tcPr>
          <w:p w14:paraId="050F281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NA</w:t>
            </w:r>
          </w:p>
        </w:tc>
        <w:tc>
          <w:tcPr>
            <w:tcW w:w="194" w:type="pct"/>
            <w:tcBorders>
              <w:top w:val="nil"/>
              <w:left w:val="nil"/>
              <w:bottom w:val="single" w:sz="4" w:space="0" w:color="auto"/>
              <w:right w:val="single" w:sz="4" w:space="0" w:color="auto"/>
            </w:tcBorders>
            <w:shd w:val="clear" w:color="000000" w:fill="FFFFFF"/>
            <w:noWrap/>
            <w:vAlign w:val="center"/>
          </w:tcPr>
          <w:p w14:paraId="3181FDB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8" w:type="pct"/>
            <w:tcBorders>
              <w:top w:val="nil"/>
              <w:left w:val="nil"/>
              <w:bottom w:val="single" w:sz="4" w:space="0" w:color="auto"/>
              <w:right w:val="single" w:sz="4" w:space="0" w:color="auto"/>
            </w:tcBorders>
            <w:shd w:val="clear" w:color="000000" w:fill="FFFFFF"/>
            <w:noWrap/>
            <w:vAlign w:val="center"/>
          </w:tcPr>
          <w:p w14:paraId="62EECC3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NA</w:t>
            </w:r>
          </w:p>
        </w:tc>
        <w:tc>
          <w:tcPr>
            <w:tcW w:w="174" w:type="pct"/>
            <w:tcBorders>
              <w:top w:val="nil"/>
              <w:left w:val="nil"/>
              <w:bottom w:val="single" w:sz="4" w:space="0" w:color="auto"/>
              <w:right w:val="single" w:sz="4" w:space="0" w:color="auto"/>
            </w:tcBorders>
            <w:shd w:val="clear" w:color="000000" w:fill="FFFFFF"/>
            <w:noWrap/>
            <w:vAlign w:val="center"/>
          </w:tcPr>
          <w:p w14:paraId="7E1C398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NA</w:t>
            </w:r>
          </w:p>
        </w:tc>
        <w:tc>
          <w:tcPr>
            <w:tcW w:w="192" w:type="pct"/>
            <w:tcBorders>
              <w:top w:val="nil"/>
              <w:left w:val="nil"/>
              <w:bottom w:val="single" w:sz="4" w:space="0" w:color="auto"/>
              <w:right w:val="single" w:sz="4" w:space="0" w:color="auto"/>
            </w:tcBorders>
            <w:shd w:val="clear" w:color="000000" w:fill="FFFFFF"/>
            <w:noWrap/>
            <w:vAlign w:val="center"/>
          </w:tcPr>
          <w:p w14:paraId="1BD900E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NA</w:t>
            </w:r>
          </w:p>
        </w:tc>
        <w:tc>
          <w:tcPr>
            <w:tcW w:w="174" w:type="pct"/>
            <w:tcBorders>
              <w:top w:val="nil"/>
              <w:left w:val="nil"/>
              <w:bottom w:val="single" w:sz="4" w:space="0" w:color="auto"/>
              <w:right w:val="single" w:sz="4" w:space="0" w:color="auto"/>
            </w:tcBorders>
            <w:shd w:val="clear" w:color="000000" w:fill="FFFFFF"/>
            <w:noWrap/>
            <w:vAlign w:val="center"/>
          </w:tcPr>
          <w:p w14:paraId="6F04BC1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NA</w:t>
            </w:r>
          </w:p>
        </w:tc>
        <w:tc>
          <w:tcPr>
            <w:tcW w:w="174" w:type="pct"/>
            <w:tcBorders>
              <w:top w:val="nil"/>
              <w:left w:val="nil"/>
              <w:bottom w:val="single" w:sz="4" w:space="0" w:color="auto"/>
              <w:right w:val="single" w:sz="4" w:space="0" w:color="auto"/>
            </w:tcBorders>
            <w:shd w:val="clear" w:color="000000" w:fill="FFFFFF"/>
            <w:noWrap/>
            <w:vAlign w:val="center"/>
          </w:tcPr>
          <w:p w14:paraId="23B0A93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6" w:type="pct"/>
            <w:tcBorders>
              <w:top w:val="nil"/>
              <w:left w:val="nil"/>
              <w:bottom w:val="single" w:sz="4" w:space="0" w:color="auto"/>
              <w:right w:val="single" w:sz="4" w:space="0" w:color="auto"/>
            </w:tcBorders>
            <w:shd w:val="clear" w:color="000000" w:fill="FFFFFF"/>
            <w:noWrap/>
            <w:vAlign w:val="center"/>
          </w:tcPr>
          <w:p w14:paraId="4B580AA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tcPr>
          <w:p w14:paraId="0B9C9B0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NA</w:t>
            </w:r>
          </w:p>
        </w:tc>
        <w:tc>
          <w:tcPr>
            <w:tcW w:w="229" w:type="pct"/>
            <w:tcBorders>
              <w:top w:val="nil"/>
              <w:left w:val="nil"/>
              <w:bottom w:val="single" w:sz="4" w:space="0" w:color="auto"/>
              <w:right w:val="single" w:sz="4" w:space="0" w:color="auto"/>
            </w:tcBorders>
            <w:shd w:val="clear" w:color="000000" w:fill="FFFFFF"/>
            <w:noWrap/>
            <w:vAlign w:val="center"/>
          </w:tcPr>
          <w:p w14:paraId="11F5366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tcPr>
          <w:p w14:paraId="073446B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tcPr>
          <w:p w14:paraId="7B8895C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33" w:type="pct"/>
            <w:tcBorders>
              <w:top w:val="nil"/>
              <w:left w:val="nil"/>
              <w:bottom w:val="single" w:sz="4" w:space="0" w:color="auto"/>
              <w:right w:val="single" w:sz="4" w:space="0" w:color="auto"/>
            </w:tcBorders>
            <w:shd w:val="clear" w:color="000000" w:fill="FFFFFF"/>
            <w:noWrap/>
            <w:vAlign w:val="center"/>
          </w:tcPr>
          <w:p w14:paraId="41E76E0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7" w:type="pct"/>
            <w:tcBorders>
              <w:top w:val="nil"/>
              <w:left w:val="nil"/>
              <w:bottom w:val="single" w:sz="4" w:space="0" w:color="auto"/>
              <w:right w:val="single" w:sz="4" w:space="0" w:color="auto"/>
            </w:tcBorders>
            <w:shd w:val="clear" w:color="000000" w:fill="FFFFFF"/>
            <w:noWrap/>
            <w:vAlign w:val="center"/>
          </w:tcPr>
          <w:p w14:paraId="6673ED8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tcPr>
          <w:p w14:paraId="086B899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NA</w:t>
            </w:r>
          </w:p>
        </w:tc>
        <w:tc>
          <w:tcPr>
            <w:tcW w:w="265" w:type="pct"/>
            <w:tcBorders>
              <w:top w:val="nil"/>
              <w:left w:val="nil"/>
              <w:bottom w:val="single" w:sz="4" w:space="0" w:color="auto"/>
              <w:right w:val="single" w:sz="4" w:space="0" w:color="auto"/>
            </w:tcBorders>
            <w:shd w:val="clear" w:color="000000" w:fill="FFFFFF"/>
            <w:noWrap/>
            <w:vAlign w:val="center"/>
          </w:tcPr>
          <w:p w14:paraId="2089446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NA</w:t>
            </w:r>
          </w:p>
        </w:tc>
        <w:tc>
          <w:tcPr>
            <w:tcW w:w="290" w:type="pct"/>
            <w:tcBorders>
              <w:top w:val="nil"/>
              <w:left w:val="nil"/>
              <w:bottom w:val="single" w:sz="4" w:space="0" w:color="auto"/>
              <w:right w:val="single" w:sz="4" w:space="0" w:color="auto"/>
            </w:tcBorders>
            <w:shd w:val="clear" w:color="000000" w:fill="FFFFFF"/>
          </w:tcPr>
          <w:p w14:paraId="4D115318"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9/9</w:t>
            </w:r>
          </w:p>
        </w:tc>
      </w:tr>
      <w:tr w:rsidR="00EE4BF0" w:rsidRPr="00646ABB" w14:paraId="1E8FC4FF" w14:textId="77777777" w:rsidTr="007D1DAE">
        <w:trPr>
          <w:trHeight w:val="880"/>
        </w:trPr>
        <w:tc>
          <w:tcPr>
            <w:tcW w:w="4710" w:type="pct"/>
            <w:gridSpan w:val="19"/>
            <w:tcBorders>
              <w:top w:val="single" w:sz="4" w:space="0" w:color="auto"/>
            </w:tcBorders>
            <w:shd w:val="clear" w:color="000000" w:fill="FFFFFF"/>
            <w:noWrap/>
          </w:tcPr>
          <w:p w14:paraId="1C86C200"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Notes: questions from the grid assessing the credibility of observational studies (Berger et al. (2014)).</w:t>
            </w:r>
          </w:p>
          <w:p w14:paraId="78CD4167"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r>
              <w:rPr>
                <w:rFonts w:ascii="Times New Roman" w:eastAsia="Times New Roman" w:hAnsi="Times New Roman"/>
                <w:color w:val="000000"/>
                <w:sz w:val="20"/>
                <w:szCs w:val="20"/>
                <w:lang w:val="en-US" w:eastAsia="fr-FR"/>
              </w:rPr>
              <w:t xml:space="preserve">0 = quality item not fulfilled in the paper. 1 = quality item fulfilled in the paper. </w:t>
            </w:r>
            <w:r w:rsidRPr="00E85D55">
              <w:rPr>
                <w:rFonts w:ascii="Times New Roman" w:eastAsia="Times New Roman" w:hAnsi="Times New Roman"/>
                <w:color w:val="000000"/>
                <w:sz w:val="20"/>
                <w:szCs w:val="20"/>
                <w:lang w:val="en-US" w:eastAsia="fr-FR"/>
              </w:rPr>
              <w:t xml:space="preserve">“NA” stands for “not available”. </w:t>
            </w:r>
          </w:p>
          <w:p w14:paraId="75531097"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vertAlign w:val="superscript"/>
                <w:lang w:val="en-US" w:eastAsia="fr-FR"/>
              </w:rPr>
              <w:t>a</w:t>
            </w:r>
            <w:r w:rsidRPr="00E85D55">
              <w:rPr>
                <w:rFonts w:ascii="Times New Roman" w:eastAsia="Times New Roman" w:hAnsi="Times New Roman"/>
                <w:color w:val="000000"/>
                <w:sz w:val="20"/>
                <w:szCs w:val="20"/>
                <w:lang w:val="en-US" w:eastAsia="fr-FR"/>
              </w:rPr>
              <w:t xml:space="preserve"> : question 4 in relevant only for longitudinal studies. Then, the total subscore either have a maximum of 3 (cross-sectional studies) or 4 (longitudinal studies).</w:t>
            </w:r>
          </w:p>
        </w:tc>
        <w:tc>
          <w:tcPr>
            <w:tcW w:w="290" w:type="pct"/>
            <w:tcBorders>
              <w:top w:val="single" w:sz="4" w:space="0" w:color="auto"/>
            </w:tcBorders>
            <w:shd w:val="clear" w:color="000000" w:fill="FFFFFF"/>
          </w:tcPr>
          <w:p w14:paraId="0EB05A95"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tc>
      </w:tr>
    </w:tbl>
    <w:p w14:paraId="0C852D54" w14:textId="77777777" w:rsidR="00EE4BF0" w:rsidRPr="00E85D55" w:rsidRDefault="00EE4BF0" w:rsidP="00EE4BF0">
      <w:pPr>
        <w:spacing w:after="0" w:line="480" w:lineRule="auto"/>
        <w:jc w:val="both"/>
        <w:rPr>
          <w:rFonts w:ascii="Times New Roman" w:hAnsi="Times New Roman"/>
          <w:i/>
          <w:sz w:val="20"/>
          <w:szCs w:val="20"/>
          <w:lang w:val="en-US"/>
        </w:rPr>
      </w:pPr>
    </w:p>
    <w:p w14:paraId="6C2895F4" w14:textId="77777777" w:rsidR="00EE4BF0" w:rsidRDefault="00EE4BF0" w:rsidP="00EE4BF0">
      <w:pPr>
        <w:spacing w:after="0" w:line="240" w:lineRule="auto"/>
        <w:rPr>
          <w:rFonts w:ascii="Times New Roman" w:hAnsi="Times New Roman"/>
          <w:i/>
          <w:sz w:val="20"/>
          <w:szCs w:val="20"/>
          <w:lang w:val="en-US"/>
        </w:rPr>
      </w:pPr>
      <w:r>
        <w:rPr>
          <w:rFonts w:ascii="Times New Roman" w:hAnsi="Times New Roman"/>
          <w:i/>
          <w:sz w:val="20"/>
          <w:szCs w:val="20"/>
          <w:lang w:val="en-US"/>
        </w:rPr>
        <w:br w:type="page"/>
      </w:r>
    </w:p>
    <w:p w14:paraId="6C0D9272" w14:textId="77777777" w:rsidR="00EE4BF0" w:rsidRPr="00E85D55" w:rsidRDefault="00EE4BF0" w:rsidP="00EE4BF0">
      <w:pPr>
        <w:spacing w:after="0" w:line="480" w:lineRule="auto"/>
        <w:jc w:val="both"/>
        <w:rPr>
          <w:rFonts w:ascii="Times New Roman" w:hAnsi="Times New Roman"/>
          <w:i/>
          <w:sz w:val="20"/>
          <w:szCs w:val="20"/>
          <w:lang w:val="en-US"/>
        </w:rPr>
      </w:pPr>
    </w:p>
    <w:tbl>
      <w:tblPr>
        <w:tblW w:w="5187" w:type="pct"/>
        <w:tblInd w:w="-530" w:type="dxa"/>
        <w:tblCellMar>
          <w:left w:w="70" w:type="dxa"/>
          <w:right w:w="70" w:type="dxa"/>
        </w:tblCellMar>
        <w:tblLook w:val="04A0" w:firstRow="1" w:lastRow="0" w:firstColumn="1" w:lastColumn="0" w:noHBand="0" w:noVBand="1"/>
      </w:tblPr>
      <w:tblGrid>
        <w:gridCol w:w="306"/>
        <w:gridCol w:w="2561"/>
        <w:gridCol w:w="528"/>
        <w:gridCol w:w="563"/>
        <w:gridCol w:w="563"/>
        <w:gridCol w:w="661"/>
        <w:gridCol w:w="505"/>
        <w:gridCol w:w="557"/>
        <w:gridCol w:w="505"/>
        <w:gridCol w:w="505"/>
        <w:gridCol w:w="568"/>
        <w:gridCol w:w="670"/>
        <w:gridCol w:w="664"/>
        <w:gridCol w:w="772"/>
        <w:gridCol w:w="772"/>
        <w:gridCol w:w="967"/>
        <w:gridCol w:w="571"/>
        <w:gridCol w:w="670"/>
        <w:gridCol w:w="769"/>
        <w:gridCol w:w="851"/>
      </w:tblGrid>
      <w:tr w:rsidR="00EE4BF0" w:rsidRPr="00646ABB" w14:paraId="56165252" w14:textId="77777777" w:rsidTr="007D1DAE">
        <w:trPr>
          <w:trHeight w:val="270"/>
        </w:trPr>
        <w:tc>
          <w:tcPr>
            <w:tcW w:w="4710" w:type="pct"/>
            <w:gridSpan w:val="19"/>
            <w:shd w:val="clear" w:color="000000" w:fill="FFFFFF"/>
            <w:noWrap/>
            <w:vAlign w:val="center"/>
          </w:tcPr>
          <w:p w14:paraId="5FB81354" w14:textId="77777777" w:rsidR="00EE4BF0" w:rsidRPr="00397FD3" w:rsidRDefault="00EE4BF0" w:rsidP="007D1DAE">
            <w:pPr>
              <w:spacing w:after="0" w:line="480" w:lineRule="auto"/>
              <w:jc w:val="center"/>
              <w:rPr>
                <w:rFonts w:ascii="Times New Roman" w:eastAsia="Times New Roman" w:hAnsi="Times New Roman"/>
                <w:color w:val="000000"/>
                <w:u w:val="single"/>
                <w:lang w:val="en-US" w:eastAsia="fr-FR"/>
              </w:rPr>
            </w:pPr>
            <w:r w:rsidRPr="00397FD3">
              <w:rPr>
                <w:rFonts w:ascii="Times New Roman" w:eastAsia="Times New Roman" w:hAnsi="Times New Roman"/>
                <w:color w:val="000000"/>
                <w:u w:val="single"/>
                <w:lang w:val="en-US" w:eastAsia="fr-FR"/>
              </w:rPr>
              <w:t xml:space="preserve">Table A.3.3 : assessment of credibility with respect to the </w:t>
            </w:r>
            <w:r w:rsidRPr="00397FD3">
              <w:rPr>
                <w:rFonts w:ascii="Times New Roman" w:eastAsia="Times New Roman" w:hAnsi="Times New Roman"/>
                <w:i/>
                <w:color w:val="000000"/>
                <w:u w:val="single"/>
                <w:lang w:val="en-US" w:eastAsia="fr-FR"/>
              </w:rPr>
              <w:t>analyses</w:t>
            </w:r>
            <w:r w:rsidRPr="00397FD3">
              <w:rPr>
                <w:rFonts w:ascii="Times New Roman" w:eastAsia="Times New Roman" w:hAnsi="Times New Roman"/>
                <w:color w:val="000000"/>
                <w:u w:val="single"/>
                <w:lang w:val="en-US" w:eastAsia="fr-FR"/>
              </w:rPr>
              <w:t xml:space="preserve"> domain</w:t>
            </w:r>
          </w:p>
          <w:p w14:paraId="33CA575B" w14:textId="77777777" w:rsidR="00EE4BF0" w:rsidRPr="00E85D55" w:rsidRDefault="00EE4BF0" w:rsidP="007D1DAE">
            <w:pPr>
              <w:spacing w:after="0" w:line="480" w:lineRule="auto"/>
              <w:jc w:val="center"/>
              <w:rPr>
                <w:rFonts w:ascii="Times New Roman" w:eastAsia="Times New Roman" w:hAnsi="Times New Roman"/>
                <w:color w:val="000000"/>
                <w:sz w:val="20"/>
                <w:szCs w:val="20"/>
                <w:u w:val="single"/>
                <w:lang w:val="en-US" w:eastAsia="fr-FR"/>
              </w:rPr>
            </w:pPr>
          </w:p>
        </w:tc>
        <w:tc>
          <w:tcPr>
            <w:tcW w:w="290" w:type="pct"/>
            <w:shd w:val="clear" w:color="000000" w:fill="FFFFFF"/>
          </w:tcPr>
          <w:p w14:paraId="74860FBA" w14:textId="77777777" w:rsidR="00EE4BF0" w:rsidRPr="00E85D55" w:rsidRDefault="00EE4BF0" w:rsidP="007D1DAE">
            <w:pPr>
              <w:spacing w:after="0" w:line="480" w:lineRule="auto"/>
              <w:jc w:val="center"/>
              <w:rPr>
                <w:rFonts w:ascii="Times New Roman" w:eastAsia="Times New Roman" w:hAnsi="Times New Roman"/>
                <w:color w:val="000000"/>
                <w:sz w:val="20"/>
                <w:szCs w:val="20"/>
                <w:u w:val="single"/>
                <w:lang w:val="en-US" w:eastAsia="fr-FR"/>
              </w:rPr>
            </w:pPr>
          </w:p>
        </w:tc>
      </w:tr>
      <w:tr w:rsidR="00EE4BF0" w:rsidRPr="00E85D55" w14:paraId="00BEE616" w14:textId="77777777" w:rsidTr="007D1DAE">
        <w:trPr>
          <w:trHeight w:val="270"/>
        </w:trPr>
        <w:tc>
          <w:tcPr>
            <w:tcW w:w="106" w:type="pct"/>
            <w:vMerge w:val="restart"/>
            <w:tcBorders>
              <w:top w:val="single" w:sz="4" w:space="0" w:color="auto"/>
              <w:left w:val="single" w:sz="4" w:space="0" w:color="auto"/>
              <w:right w:val="single" w:sz="4" w:space="0" w:color="auto"/>
            </w:tcBorders>
            <w:shd w:val="clear" w:color="000000" w:fill="FFFFFF"/>
            <w:noWrap/>
            <w:vAlign w:val="center"/>
            <w:hideMark/>
          </w:tcPr>
          <w:p w14:paraId="31610874"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 </w:t>
            </w:r>
          </w:p>
          <w:p w14:paraId="728E1CDC"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 </w:t>
            </w:r>
          </w:p>
        </w:tc>
        <w:tc>
          <w:tcPr>
            <w:tcW w:w="88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0F6122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Question</w:t>
            </w:r>
          </w:p>
        </w:tc>
        <w:tc>
          <w:tcPr>
            <w:tcW w:w="182" w:type="pct"/>
            <w:tcBorders>
              <w:top w:val="single" w:sz="4" w:space="0" w:color="auto"/>
              <w:left w:val="nil"/>
              <w:bottom w:val="single" w:sz="4" w:space="0" w:color="auto"/>
              <w:right w:val="single" w:sz="4" w:space="0" w:color="auto"/>
            </w:tcBorders>
            <w:shd w:val="clear" w:color="000000" w:fill="FFFFFF"/>
            <w:vAlign w:val="center"/>
            <w:hideMark/>
          </w:tcPr>
          <w:p w14:paraId="0B22D06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w:t>
            </w:r>
          </w:p>
        </w:tc>
        <w:tc>
          <w:tcPr>
            <w:tcW w:w="194" w:type="pct"/>
            <w:tcBorders>
              <w:top w:val="single" w:sz="4" w:space="0" w:color="auto"/>
              <w:left w:val="nil"/>
              <w:bottom w:val="single" w:sz="4" w:space="0" w:color="auto"/>
              <w:right w:val="single" w:sz="4" w:space="0" w:color="auto"/>
            </w:tcBorders>
            <w:shd w:val="clear" w:color="000000" w:fill="FFFFFF"/>
            <w:vAlign w:val="center"/>
            <w:hideMark/>
          </w:tcPr>
          <w:p w14:paraId="51A2241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2</w:t>
            </w:r>
          </w:p>
        </w:tc>
        <w:tc>
          <w:tcPr>
            <w:tcW w:w="194" w:type="pct"/>
            <w:tcBorders>
              <w:top w:val="single" w:sz="4" w:space="0" w:color="auto"/>
              <w:left w:val="nil"/>
              <w:bottom w:val="single" w:sz="4" w:space="0" w:color="auto"/>
              <w:right w:val="single" w:sz="4" w:space="0" w:color="auto"/>
            </w:tcBorders>
            <w:shd w:val="clear" w:color="000000" w:fill="FFFFFF"/>
            <w:vAlign w:val="center"/>
            <w:hideMark/>
          </w:tcPr>
          <w:p w14:paraId="5450297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3</w:t>
            </w:r>
          </w:p>
        </w:tc>
        <w:tc>
          <w:tcPr>
            <w:tcW w:w="228" w:type="pct"/>
            <w:tcBorders>
              <w:top w:val="single" w:sz="4" w:space="0" w:color="auto"/>
              <w:left w:val="nil"/>
              <w:bottom w:val="single" w:sz="4" w:space="0" w:color="auto"/>
              <w:right w:val="single" w:sz="4" w:space="0" w:color="auto"/>
            </w:tcBorders>
            <w:shd w:val="clear" w:color="000000" w:fill="FFFFFF"/>
            <w:vAlign w:val="center"/>
            <w:hideMark/>
          </w:tcPr>
          <w:p w14:paraId="2253147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4</w:t>
            </w:r>
          </w:p>
        </w:tc>
        <w:tc>
          <w:tcPr>
            <w:tcW w:w="174" w:type="pct"/>
            <w:tcBorders>
              <w:top w:val="single" w:sz="4" w:space="0" w:color="auto"/>
              <w:left w:val="nil"/>
              <w:bottom w:val="single" w:sz="4" w:space="0" w:color="auto"/>
              <w:right w:val="single" w:sz="4" w:space="0" w:color="auto"/>
            </w:tcBorders>
            <w:shd w:val="clear" w:color="000000" w:fill="FFFFFF"/>
            <w:vAlign w:val="center"/>
            <w:hideMark/>
          </w:tcPr>
          <w:p w14:paraId="6845047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5</w:t>
            </w:r>
          </w:p>
        </w:tc>
        <w:tc>
          <w:tcPr>
            <w:tcW w:w="192" w:type="pct"/>
            <w:tcBorders>
              <w:top w:val="single" w:sz="4" w:space="0" w:color="auto"/>
              <w:left w:val="nil"/>
              <w:bottom w:val="single" w:sz="4" w:space="0" w:color="auto"/>
              <w:right w:val="single" w:sz="4" w:space="0" w:color="auto"/>
            </w:tcBorders>
            <w:shd w:val="clear" w:color="000000" w:fill="FFFFFF"/>
            <w:vAlign w:val="center"/>
            <w:hideMark/>
          </w:tcPr>
          <w:p w14:paraId="3AC8AD3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6</w:t>
            </w:r>
          </w:p>
        </w:tc>
        <w:tc>
          <w:tcPr>
            <w:tcW w:w="174" w:type="pct"/>
            <w:tcBorders>
              <w:top w:val="single" w:sz="4" w:space="0" w:color="auto"/>
              <w:left w:val="nil"/>
              <w:bottom w:val="single" w:sz="4" w:space="0" w:color="auto"/>
              <w:right w:val="single" w:sz="4" w:space="0" w:color="auto"/>
            </w:tcBorders>
            <w:shd w:val="clear" w:color="000000" w:fill="FFFFFF"/>
            <w:vAlign w:val="center"/>
            <w:hideMark/>
          </w:tcPr>
          <w:p w14:paraId="3FA9A6A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7</w:t>
            </w:r>
          </w:p>
        </w:tc>
        <w:tc>
          <w:tcPr>
            <w:tcW w:w="174" w:type="pct"/>
            <w:tcBorders>
              <w:top w:val="single" w:sz="4" w:space="0" w:color="auto"/>
              <w:left w:val="nil"/>
              <w:bottom w:val="single" w:sz="4" w:space="0" w:color="auto"/>
              <w:right w:val="single" w:sz="4" w:space="0" w:color="auto"/>
            </w:tcBorders>
            <w:shd w:val="clear" w:color="000000" w:fill="FFFFFF"/>
            <w:vAlign w:val="center"/>
            <w:hideMark/>
          </w:tcPr>
          <w:p w14:paraId="6A6AB9F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8</w:t>
            </w:r>
          </w:p>
        </w:tc>
        <w:tc>
          <w:tcPr>
            <w:tcW w:w="196" w:type="pct"/>
            <w:tcBorders>
              <w:top w:val="single" w:sz="4" w:space="0" w:color="auto"/>
              <w:left w:val="nil"/>
              <w:bottom w:val="single" w:sz="4" w:space="0" w:color="auto"/>
              <w:right w:val="single" w:sz="4" w:space="0" w:color="auto"/>
            </w:tcBorders>
            <w:shd w:val="clear" w:color="000000" w:fill="FFFFFF"/>
            <w:vAlign w:val="center"/>
            <w:hideMark/>
          </w:tcPr>
          <w:p w14:paraId="1B6E2C0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9</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14:paraId="6C9AD6F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10</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14:paraId="0B3588D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11</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14:paraId="1FCF621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12</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14:paraId="71F3F3B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13</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14:paraId="36D96CA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14</w:t>
            </w:r>
          </w:p>
        </w:tc>
        <w:tc>
          <w:tcPr>
            <w:tcW w:w="197" w:type="pct"/>
            <w:tcBorders>
              <w:top w:val="single" w:sz="4" w:space="0" w:color="auto"/>
              <w:left w:val="nil"/>
              <w:bottom w:val="single" w:sz="4" w:space="0" w:color="auto"/>
              <w:right w:val="single" w:sz="4" w:space="0" w:color="auto"/>
            </w:tcBorders>
            <w:shd w:val="clear" w:color="000000" w:fill="FFFFFF"/>
            <w:vAlign w:val="center"/>
            <w:hideMark/>
          </w:tcPr>
          <w:p w14:paraId="4E2A0CE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15</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14:paraId="3E3E93C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16</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14:paraId="01B8DFB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17</w:t>
            </w:r>
          </w:p>
        </w:tc>
        <w:tc>
          <w:tcPr>
            <w:tcW w:w="290" w:type="pct"/>
            <w:tcBorders>
              <w:top w:val="single" w:sz="4" w:space="0" w:color="auto"/>
              <w:left w:val="nil"/>
              <w:bottom w:val="single" w:sz="4" w:space="0" w:color="auto"/>
              <w:right w:val="single" w:sz="4" w:space="0" w:color="auto"/>
            </w:tcBorders>
            <w:shd w:val="clear" w:color="000000" w:fill="FFFFFF"/>
          </w:tcPr>
          <w:p w14:paraId="2C6A2FF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p>
        </w:tc>
      </w:tr>
      <w:tr w:rsidR="00EE4BF0" w:rsidRPr="00E85D55" w14:paraId="26D34C44" w14:textId="77777777" w:rsidTr="007D1DAE">
        <w:trPr>
          <w:cantSplit/>
          <w:trHeight w:val="1201"/>
        </w:trPr>
        <w:tc>
          <w:tcPr>
            <w:tcW w:w="106" w:type="pct"/>
            <w:vMerge/>
            <w:tcBorders>
              <w:left w:val="single" w:sz="4" w:space="0" w:color="auto"/>
              <w:bottom w:val="single" w:sz="4" w:space="0" w:color="auto"/>
              <w:right w:val="single" w:sz="4" w:space="0" w:color="auto"/>
            </w:tcBorders>
            <w:shd w:val="clear" w:color="000000" w:fill="FFFFFF"/>
            <w:noWrap/>
            <w:vAlign w:val="center"/>
            <w:hideMark/>
          </w:tcPr>
          <w:p w14:paraId="368D8BD2"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p>
        </w:tc>
        <w:tc>
          <w:tcPr>
            <w:tcW w:w="882" w:type="pct"/>
            <w:vMerge/>
            <w:tcBorders>
              <w:top w:val="single" w:sz="4" w:space="0" w:color="auto"/>
              <w:left w:val="single" w:sz="4" w:space="0" w:color="auto"/>
              <w:bottom w:val="single" w:sz="4" w:space="0" w:color="000000"/>
              <w:right w:val="single" w:sz="4" w:space="0" w:color="auto"/>
            </w:tcBorders>
            <w:vAlign w:val="center"/>
            <w:hideMark/>
          </w:tcPr>
          <w:p w14:paraId="6F39C91C" w14:textId="77777777" w:rsidR="00EE4BF0" w:rsidRPr="00E85D55" w:rsidRDefault="00EE4BF0" w:rsidP="007D1DAE">
            <w:pPr>
              <w:spacing w:after="0" w:line="480" w:lineRule="auto"/>
              <w:rPr>
                <w:rFonts w:ascii="Times New Roman" w:eastAsia="Times New Roman" w:hAnsi="Times New Roman"/>
                <w:color w:val="000000"/>
                <w:sz w:val="20"/>
                <w:szCs w:val="20"/>
                <w:lang w:eastAsia="fr-FR"/>
              </w:rPr>
            </w:pPr>
          </w:p>
        </w:tc>
        <w:tc>
          <w:tcPr>
            <w:tcW w:w="182" w:type="pct"/>
            <w:tcBorders>
              <w:top w:val="nil"/>
              <w:left w:val="nil"/>
              <w:bottom w:val="single" w:sz="4" w:space="0" w:color="auto"/>
              <w:right w:val="single" w:sz="4" w:space="0" w:color="auto"/>
            </w:tcBorders>
            <w:shd w:val="clear" w:color="000000" w:fill="FFFFFF"/>
            <w:textDirection w:val="btLr"/>
            <w:vAlign w:val="center"/>
            <w:hideMark/>
          </w:tcPr>
          <w:p w14:paraId="16E529F7"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Rothman </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(2008)</w:t>
            </w:r>
          </w:p>
        </w:tc>
        <w:tc>
          <w:tcPr>
            <w:tcW w:w="194" w:type="pct"/>
            <w:tcBorders>
              <w:top w:val="nil"/>
              <w:left w:val="nil"/>
              <w:bottom w:val="single" w:sz="4" w:space="0" w:color="auto"/>
              <w:right w:val="single" w:sz="4" w:space="0" w:color="auto"/>
            </w:tcBorders>
            <w:shd w:val="clear" w:color="000000" w:fill="FFFFFF"/>
            <w:textDirection w:val="btLr"/>
            <w:vAlign w:val="center"/>
            <w:hideMark/>
          </w:tcPr>
          <w:p w14:paraId="7087A6B2"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Rochat</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(2010)</w:t>
            </w:r>
          </w:p>
        </w:tc>
        <w:tc>
          <w:tcPr>
            <w:tcW w:w="194" w:type="pct"/>
            <w:tcBorders>
              <w:top w:val="nil"/>
              <w:left w:val="nil"/>
              <w:bottom w:val="single" w:sz="4" w:space="0" w:color="auto"/>
              <w:right w:val="single" w:sz="4" w:space="0" w:color="auto"/>
            </w:tcBorders>
            <w:shd w:val="clear" w:color="000000" w:fill="FFFFFF"/>
            <w:textDirection w:val="btLr"/>
            <w:vAlign w:val="center"/>
            <w:hideMark/>
          </w:tcPr>
          <w:p w14:paraId="1F12DCD3"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Gobbens </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14:paraId="31AE3C55"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Hoeck</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174" w:type="pct"/>
            <w:tcBorders>
              <w:top w:val="nil"/>
              <w:left w:val="nil"/>
              <w:bottom w:val="single" w:sz="4" w:space="0" w:color="auto"/>
              <w:right w:val="single" w:sz="4" w:space="0" w:color="auto"/>
            </w:tcBorders>
            <w:shd w:val="clear" w:color="000000" w:fill="FFFFFF"/>
            <w:textDirection w:val="btLr"/>
            <w:vAlign w:val="center"/>
            <w:hideMark/>
          </w:tcPr>
          <w:p w14:paraId="044D4CC5"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Hogan</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192" w:type="pct"/>
            <w:tcBorders>
              <w:top w:val="nil"/>
              <w:left w:val="nil"/>
              <w:bottom w:val="single" w:sz="4" w:space="0" w:color="auto"/>
              <w:right w:val="single" w:sz="4" w:space="0" w:color="auto"/>
            </w:tcBorders>
            <w:shd w:val="clear" w:color="000000" w:fill="FFFFFF"/>
            <w:textDirection w:val="btLr"/>
            <w:vAlign w:val="center"/>
            <w:hideMark/>
          </w:tcPr>
          <w:p w14:paraId="2486C469"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Schoufour</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(2014)</w:t>
            </w:r>
          </w:p>
        </w:tc>
        <w:tc>
          <w:tcPr>
            <w:tcW w:w="174" w:type="pct"/>
            <w:tcBorders>
              <w:top w:val="nil"/>
              <w:left w:val="nil"/>
              <w:bottom w:val="single" w:sz="4" w:space="0" w:color="auto"/>
              <w:right w:val="single" w:sz="4" w:space="0" w:color="auto"/>
            </w:tcBorders>
            <w:shd w:val="clear" w:color="000000" w:fill="FFFFFF"/>
            <w:textDirection w:val="btLr"/>
            <w:vAlign w:val="center"/>
            <w:hideMark/>
          </w:tcPr>
          <w:p w14:paraId="6129B560"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Hirani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(2015)</w:t>
            </w:r>
          </w:p>
        </w:tc>
        <w:tc>
          <w:tcPr>
            <w:tcW w:w="174" w:type="pct"/>
            <w:tcBorders>
              <w:top w:val="nil"/>
              <w:left w:val="nil"/>
              <w:bottom w:val="single" w:sz="4" w:space="0" w:color="auto"/>
              <w:right w:val="single" w:sz="4" w:space="0" w:color="auto"/>
            </w:tcBorders>
            <w:shd w:val="clear" w:color="000000" w:fill="FFFFFF"/>
            <w:textDirection w:val="btLr"/>
            <w:vAlign w:val="center"/>
            <w:hideMark/>
          </w:tcPr>
          <w:p w14:paraId="18201DC9"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Bentur</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196" w:type="pct"/>
            <w:tcBorders>
              <w:top w:val="nil"/>
              <w:left w:val="nil"/>
              <w:bottom w:val="single" w:sz="4" w:space="0" w:color="auto"/>
              <w:right w:val="single" w:sz="4" w:space="0" w:color="auto"/>
            </w:tcBorders>
            <w:shd w:val="clear" w:color="000000" w:fill="FFFFFF"/>
            <w:textDirection w:val="btLr"/>
            <w:vAlign w:val="center"/>
            <w:hideMark/>
          </w:tcPr>
          <w:p w14:paraId="23236FCE"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Bock</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31" w:type="pct"/>
            <w:tcBorders>
              <w:top w:val="nil"/>
              <w:left w:val="nil"/>
              <w:bottom w:val="single" w:sz="4" w:space="0" w:color="auto"/>
              <w:right w:val="single" w:sz="4" w:space="0" w:color="auto"/>
            </w:tcBorders>
            <w:shd w:val="clear" w:color="000000" w:fill="FFFFFF"/>
            <w:textDirection w:val="btLr"/>
            <w:vAlign w:val="center"/>
            <w:hideMark/>
          </w:tcPr>
          <w:p w14:paraId="2184E5C3"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Butler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eastAsia="fr-FR"/>
              </w:rPr>
              <w:t xml:space="preserve"> (2016)</w:t>
            </w:r>
          </w:p>
        </w:tc>
        <w:tc>
          <w:tcPr>
            <w:tcW w:w="229" w:type="pct"/>
            <w:tcBorders>
              <w:top w:val="nil"/>
              <w:left w:val="nil"/>
              <w:bottom w:val="single" w:sz="4" w:space="0" w:color="auto"/>
              <w:right w:val="single" w:sz="4" w:space="0" w:color="auto"/>
            </w:tcBorders>
            <w:shd w:val="clear" w:color="000000" w:fill="FFFFFF"/>
            <w:textDirection w:val="btLr"/>
            <w:vAlign w:val="center"/>
            <w:hideMark/>
          </w:tcPr>
          <w:p w14:paraId="026F3EF6"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Campitelli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66" w:type="pct"/>
            <w:tcBorders>
              <w:top w:val="nil"/>
              <w:left w:val="nil"/>
              <w:bottom w:val="single" w:sz="4" w:space="0" w:color="auto"/>
              <w:right w:val="single" w:sz="4" w:space="0" w:color="auto"/>
            </w:tcBorders>
            <w:shd w:val="clear" w:color="000000" w:fill="FFFFFF"/>
            <w:textDirection w:val="btLr"/>
            <w:vAlign w:val="center"/>
            <w:hideMark/>
          </w:tcPr>
          <w:p w14:paraId="00CF2409"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Kelaiditi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66" w:type="pct"/>
            <w:tcBorders>
              <w:top w:val="nil"/>
              <w:left w:val="nil"/>
              <w:bottom w:val="single" w:sz="4" w:space="0" w:color="auto"/>
              <w:right w:val="single" w:sz="4" w:space="0" w:color="auto"/>
            </w:tcBorders>
            <w:shd w:val="clear" w:color="000000" w:fill="FFFFFF"/>
            <w:textDirection w:val="btLr"/>
            <w:vAlign w:val="center"/>
            <w:hideMark/>
          </w:tcPr>
          <w:p w14:paraId="25A61762"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Gonzalez-Colaço</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(2017)</w:t>
            </w:r>
          </w:p>
        </w:tc>
        <w:tc>
          <w:tcPr>
            <w:tcW w:w="333" w:type="pct"/>
            <w:tcBorders>
              <w:top w:val="nil"/>
              <w:left w:val="nil"/>
              <w:bottom w:val="single" w:sz="4" w:space="0" w:color="auto"/>
              <w:right w:val="single" w:sz="4" w:space="0" w:color="auto"/>
            </w:tcBorders>
            <w:shd w:val="clear" w:color="auto" w:fill="auto"/>
            <w:textDirection w:val="btLr"/>
            <w:vAlign w:val="center"/>
            <w:hideMark/>
          </w:tcPr>
          <w:p w14:paraId="6FDBD838"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Ferrante</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(2018)</w:t>
            </w:r>
          </w:p>
        </w:tc>
        <w:tc>
          <w:tcPr>
            <w:tcW w:w="197" w:type="pct"/>
            <w:tcBorders>
              <w:top w:val="nil"/>
              <w:left w:val="nil"/>
              <w:bottom w:val="single" w:sz="4" w:space="0" w:color="auto"/>
              <w:right w:val="single" w:sz="4" w:space="0" w:color="auto"/>
            </w:tcBorders>
            <w:shd w:val="clear" w:color="auto" w:fill="auto"/>
            <w:textDirection w:val="btLr"/>
            <w:vAlign w:val="center"/>
            <w:hideMark/>
          </w:tcPr>
          <w:p w14:paraId="6002D04B"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Hajek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eastAsia="fr-FR"/>
              </w:rPr>
              <w:t xml:space="preserve"> (2018)</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66FDBDB6"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val="en-US" w:eastAsia="fr-FR"/>
              </w:rPr>
              <w:t xml:space="preserve">Lambotte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val="en-US" w:eastAsia="fr-FR"/>
              </w:rPr>
              <w:t xml:space="preserve"> (2018)</w:t>
            </w:r>
          </w:p>
        </w:tc>
        <w:tc>
          <w:tcPr>
            <w:tcW w:w="265" w:type="pct"/>
            <w:tcBorders>
              <w:top w:val="nil"/>
              <w:left w:val="nil"/>
              <w:bottom w:val="single" w:sz="4" w:space="0" w:color="auto"/>
              <w:right w:val="single" w:sz="4" w:space="0" w:color="auto"/>
            </w:tcBorders>
            <w:shd w:val="clear" w:color="auto" w:fill="auto"/>
            <w:textDirection w:val="btLr"/>
            <w:vAlign w:val="center"/>
            <w:hideMark/>
          </w:tcPr>
          <w:p w14:paraId="2F63E19C"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val="en-US" w:eastAsia="fr-FR"/>
              </w:rPr>
              <w:t xml:space="preserve">Verve </w:t>
            </w:r>
            <w:r>
              <w:rPr>
                <w:rFonts w:ascii="Times New Roman" w:eastAsia="Times New Roman" w:hAnsi="Times New Roman"/>
                <w:color w:val="000000"/>
                <w:sz w:val="18"/>
                <w:szCs w:val="20"/>
                <w:lang w:val="en-US" w:eastAsia="fr-FR"/>
              </w:rPr>
              <w:t xml:space="preserve">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val="en-US" w:eastAsia="fr-FR"/>
              </w:rPr>
              <w:t xml:space="preserve"> (2018)</w:t>
            </w:r>
          </w:p>
        </w:tc>
        <w:tc>
          <w:tcPr>
            <w:tcW w:w="290" w:type="pct"/>
            <w:tcBorders>
              <w:top w:val="nil"/>
              <w:left w:val="nil"/>
              <w:bottom w:val="single" w:sz="4" w:space="0" w:color="auto"/>
              <w:right w:val="single" w:sz="4" w:space="0" w:color="auto"/>
            </w:tcBorders>
            <w:textDirection w:val="btLr"/>
          </w:tcPr>
          <w:p w14:paraId="25D2E621"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val="en-US" w:eastAsia="fr-FR"/>
              </w:rPr>
              <w:t>Number of studies coded 1</w:t>
            </w:r>
          </w:p>
        </w:tc>
      </w:tr>
      <w:tr w:rsidR="00EE4BF0" w:rsidRPr="00E85D55" w14:paraId="7C1A5AB5" w14:textId="77777777" w:rsidTr="007D1DAE">
        <w:trPr>
          <w:cantSplit/>
          <w:trHeight w:val="397"/>
        </w:trPr>
        <w:tc>
          <w:tcPr>
            <w:tcW w:w="106" w:type="pct"/>
            <w:tcBorders>
              <w:left w:val="single" w:sz="4" w:space="0" w:color="auto"/>
              <w:bottom w:val="single" w:sz="4" w:space="0" w:color="auto"/>
              <w:right w:val="single" w:sz="4" w:space="0" w:color="auto"/>
            </w:tcBorders>
            <w:shd w:val="clear" w:color="000000" w:fill="FFFFFF"/>
            <w:noWrap/>
            <w:vAlign w:val="center"/>
          </w:tcPr>
          <w:p w14:paraId="1321A319"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p>
        </w:tc>
        <w:tc>
          <w:tcPr>
            <w:tcW w:w="882" w:type="pct"/>
            <w:tcBorders>
              <w:top w:val="single" w:sz="4" w:space="0" w:color="auto"/>
              <w:left w:val="single" w:sz="4" w:space="0" w:color="auto"/>
              <w:bottom w:val="single" w:sz="4" w:space="0" w:color="000000"/>
              <w:right w:val="single" w:sz="4" w:space="0" w:color="auto"/>
            </w:tcBorders>
            <w:vAlign w:val="center"/>
          </w:tcPr>
          <w:p w14:paraId="0C7ABA1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Reference number</w:t>
            </w:r>
          </w:p>
        </w:tc>
        <w:tc>
          <w:tcPr>
            <w:tcW w:w="182" w:type="pct"/>
            <w:tcBorders>
              <w:top w:val="nil"/>
              <w:left w:val="nil"/>
              <w:bottom w:val="single" w:sz="4" w:space="0" w:color="auto"/>
              <w:right w:val="single" w:sz="4" w:space="0" w:color="auto"/>
            </w:tcBorders>
            <w:shd w:val="clear" w:color="000000" w:fill="FFFFFF"/>
            <w:textDirection w:val="btLr"/>
            <w:vAlign w:val="center"/>
          </w:tcPr>
          <w:p w14:paraId="5B42E80A"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XjsvhU7n","properties":{"formattedCitation":"[15]","plainCitation":"[15]","noteIndex":0},"citationItems":[{"id":"Tlgz5ME1/Q2rA0b6m","uris":["http://zotero.org/groups/2323309/items/9RQJKD2K"],"uri":["http://zotero.org/groups/2323309/items/9RQJKD2K"],"itemData":{"id":"Tlgz5ME1/Q2rA0b6m","type":"article-journal","abstract":"To determine the independent prognostic effect of seven potential frailty criteria, including five from the Fried phenotype, on several adverse outcomes. Prospective cohort study. Greater New Haven, Connecticut. Seven hundred fifty-four initially nondisabled, community-living persons aged 70 and older. An assessment of seven potential frailty criteria (slow gait speed, low physical activity, weight loss, exhaustion, weakness, cognitive impairment, and depressive symptoms) was completed at baseline and every 18 months for 72 months. Participants were followed with monthly telephone interviews for up to 96 months to determine the occurrence of chronic disability, long-term nursing home (NH) stays, injurious falls, and death. In analyses adjusted for age, sex, race, education, number of chronic conditions, and the presence of the other potential frailty criteria, three of the five Fried criteria (slow gait speed, low physical activity, and weight loss) were independently associated with chronic disability, long-term NH stays, and death. Slow gait speed was the strongest predictor of chronic disability (hazard ratio (HR)=2.97, 95% confidence interval (CI)=2.32-3.80) and long-term NH stay (HR=3.86, 95% CI=2.23-6.67) and was the only significant predictor of injurious falls (HR=2.19, 95% CI=1.33-3.60). Cognitive impairment was also associated with chronic disability (HR=1.82, 95% CI=1.40-2.38), long-term NH stay (HR=2.64, 95% CI=1.75-3.99), and death (HR=1.54, 95% CI=1.13-2.10), and the magnitude of these associations was comparable with that of weight loss. The results of this study provide strong evidence to support the use of slow gait speed, low physical activity, weight loss, and cognitive impairment as key indicators of frailty while raising concerns about the value of self-reported exhaustion and muscle weakness.","container-title":"JOURNAL OF THE AMERICAN GERIATRICS SOCIETY","DOI":"10.1111/j.1532-5415.2008.02008.x","ISSN":"0002-8614","issue":"12","page":"2211-2216","title":"Prognostic Significance of Potential Frailty Criteria","volume":"56","author":[{"family":"Rothman","given":"Marc D."},{"family":"Leo-Summers","given":"Linda"},{"family":"Gill","given":"Thomas M."}],"issued":{"date-parts":[["2008",12]]}}}],"schema":"https://github.com/citation-style-language/schema/raw/master/csl-citation.json"}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[15]</w:t>
            </w:r>
            <w:r>
              <w:rPr>
                <w:rFonts w:ascii="Times New Roman" w:eastAsia="Times New Roman" w:hAnsi="Times New Roman"/>
                <w:color w:val="000000"/>
                <w:sz w:val="18"/>
                <w:szCs w:val="20"/>
                <w:lang w:eastAsia="fr-FR"/>
              </w:rPr>
              <w:fldChar w:fldCharType="end"/>
            </w:r>
          </w:p>
        </w:tc>
        <w:tc>
          <w:tcPr>
            <w:tcW w:w="194" w:type="pct"/>
            <w:tcBorders>
              <w:top w:val="nil"/>
              <w:left w:val="nil"/>
              <w:bottom w:val="single" w:sz="4" w:space="0" w:color="auto"/>
              <w:right w:val="single" w:sz="4" w:space="0" w:color="auto"/>
            </w:tcBorders>
            <w:shd w:val="clear" w:color="000000" w:fill="FFFFFF"/>
            <w:textDirection w:val="btLr"/>
            <w:vAlign w:val="center"/>
          </w:tcPr>
          <w:p w14:paraId="30CCAAFD"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rtXb25jT","properties":{"formattedCitation":"[16]","plainCitation":"[16]","noteIndex":0},"citationItems":[{"id":"Tlgz5ME1/JRVJnGsw","uris":["http://zotero.org/groups/2323309/items/XXJZHIEI"],"uri":["http://zotero.org/groups/2323309/items/XXJZHIEI"],"itemData":{"id":"Tlgz5ME1/JRVJnGsw","type":"article-journal","container-title":"AGE AND AGEING","DOI":"10.1093/ageing/afp257","ISSN":"0002-0729","issue":"2","page":"228-233","title":"Frailty and use of health and community services by community-dwelling older men: the Concord Health and Ageing in Men Project","volume":"39","author":[{"family":"Rochat","given":"Stephane"},{"family":"Cumming","given":"Robert G."},{"family":"Blyth","given":"Fiona"},{"family":"Creasey","given":"Helen"},{"family":"Handelsman","given":"David"},{"family":"Le Couteur","given":"David G."},{"family":"Naganathan","given":"Vasi"},{"family":"Sambrook","given":"Philip N."},{"family":"Seibel","given":"Markus J."},{"family":"Waite","given":"Louise"}],"issued":{"date-parts":[["2010",3]]}}}],"schema":"https://github.com/citation-style-language/schema/raw/master/csl-citation.json"}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[16]</w:t>
            </w:r>
            <w:r>
              <w:rPr>
                <w:rFonts w:ascii="Times New Roman" w:eastAsia="Times New Roman" w:hAnsi="Times New Roman"/>
                <w:color w:val="000000"/>
                <w:sz w:val="18"/>
                <w:szCs w:val="20"/>
                <w:lang w:eastAsia="fr-FR"/>
              </w:rPr>
              <w:fldChar w:fldCharType="end"/>
            </w:r>
          </w:p>
        </w:tc>
        <w:tc>
          <w:tcPr>
            <w:tcW w:w="194" w:type="pct"/>
            <w:tcBorders>
              <w:top w:val="nil"/>
              <w:left w:val="nil"/>
              <w:bottom w:val="single" w:sz="4" w:space="0" w:color="auto"/>
              <w:right w:val="single" w:sz="4" w:space="0" w:color="auto"/>
            </w:tcBorders>
            <w:shd w:val="clear" w:color="000000" w:fill="FFFFFF"/>
            <w:textDirection w:val="btLr"/>
            <w:vAlign w:val="center"/>
          </w:tcPr>
          <w:p w14:paraId="36C88035"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Z76UAV7i","properties":{"formattedCitation":"[17]","plainCitation":"[17]","noteIndex":0},"citationItems":[{"id":"Tlgz5ME1/HfuYan15","uris":["http://zotero.org/groups/2323309/items/64THRMTJ"],"uri":["http://zotero.org/groups/2323309/items/64THRMTJ"],"itemData":{"id":"Tlgz5ME1/HfuYan15","type":"article-journal","abstract":"Abstract.  Purpose: To assess the predictive validity of frailty and its domains (physical, psychological, and social), as measured by the Tilburg Frailty Indic","container-title":"The Gerontologist","DOI":"10.1093/geront/gnr135","ISSN":"0016-9013","issue":"5","journalAbbreviation":"Gerontologist","language":"en","page":"619-631","source":"academic.oup.com","title":"The Predictive Validity of the Tilburg Frailty Indicator: Disability, Health Care Utilization, and Quality of Life in a Population at Risk","title-short":"The Predictive Validity of the Tilburg Frailty Indicator","volume":"52","author":[{"family":"Gobbens","given":"Robbert J. J."},{"family":"Assen","given":"Marcel A. L. M.","non-dropping-particle":"van"},{"family":"Luijkx","given":"Katrien G."},{"family":"Schols","given":"Jos M. G. A."}],"issued":{"date-parts":[["2012",10,1]]}}}],"schema":"https://github.com/citation-style-language/schema/raw/master/csl-citation.json"}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[17]</w:t>
            </w:r>
            <w:r>
              <w:rPr>
                <w:rFonts w:ascii="Times New Roman" w:eastAsia="Times New Roman" w:hAnsi="Times New Roman"/>
                <w:color w:val="000000"/>
                <w:sz w:val="18"/>
                <w:szCs w:val="20"/>
                <w:lang w:eastAsia="fr-FR"/>
              </w:rPr>
              <w:fldChar w:fldCharType="end"/>
            </w:r>
          </w:p>
        </w:tc>
        <w:tc>
          <w:tcPr>
            <w:tcW w:w="228" w:type="pct"/>
            <w:tcBorders>
              <w:top w:val="nil"/>
              <w:left w:val="nil"/>
              <w:bottom w:val="single" w:sz="4" w:space="0" w:color="auto"/>
              <w:right w:val="single" w:sz="4" w:space="0" w:color="auto"/>
            </w:tcBorders>
            <w:shd w:val="clear" w:color="000000" w:fill="FFFFFF"/>
            <w:textDirection w:val="btLr"/>
            <w:vAlign w:val="center"/>
          </w:tcPr>
          <w:p w14:paraId="44EB31FE"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hEf2o00r","properties":{"formattedCitation":"[18]","plainCitation":"[18]","noteIndex":0},"citationItems":[{"id":"Tlgz5ME1/OpNdfn6D","uris":["http://zotero.org/groups/2323309/items/GIB375SX"],"uri":["http://zotero.org/groups/2323309/items/GIB375SX"],"itemData":{"id":"Tlgz5ME1/OpNdfn6D","type":"article-journal","abstract":"Background: The patterns of health- and home-care utilization among Belgian frail elderly persons living at home with varying socio-economic status are currently unknown. Methods: In this cross-sectional study based on a representative sample of 4777 elderly participants (epsilon 65 years) in the Belgian Health Interview Survey the prevalence of frailty, as determined by items referring to the Fried phenotype, was estimated according to age, gender, comorbidity, place of residence, survey year, living situation and socio-economic status. Differing health-care utilization [contacts with a general practitioner (GP), specialist and emergency department; and hospital admission) and home-care utilization (home nursing, home help and meals-on-wheels] patterns among the frail, prefrail and robust subpopulations were examined. Results: Overall, 9.3% respondents (426) were classified as frail, 30.7% (1636) as prefrail and 60.0% (2715) as robust. Frailty was associated with age, gender, comorbidity, region, survey year and socio-economic status. The frail and prefrail groups were more likely than the robust to contact a GP, a specialist or an emergency department and were more likely to be admitted to hospital, independent of age, gender, comorbidity, survey year, living situation, region and socio-economic status. They were also more likely to appeal to home nursing, home help and meals-on-wheels than the robust participants. Conclusion: Even after adjustment for potential confounders, including age, gender and comorbidity, frailty among Belgian elderly persons is associated with their socio-economic status and is strongly associated with their health- and home-care utilization.","container-title":"European Journal of Public Health","DOI":"10.1093/eurpub/ckr133","ISSN":"1101-1262","issue":"5","page":"671-677","title":"Health-care and home-care utilization among frail elderly persons in Belgium","volume":"22","author":[{"family":"Hoeck","given":"Sarah"},{"family":"Francois","given":"Guido"},{"family":"Geerts","given":"Joanna"},{"family":"Van der Heyden","given":"Johan"},{"family":"Vandewoude","given":"Maurits"},{"family":"Van Hal","given":"Guido"}],"issued":{"date-parts":[["2012",10]]}}}],"schema":"https://github.com/citation-style-language/schema/raw/master/csl-citation.json"}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[18]</w:t>
            </w:r>
            <w:r>
              <w:rPr>
                <w:rFonts w:ascii="Times New Roman" w:eastAsia="Times New Roman" w:hAnsi="Times New Roman"/>
                <w:color w:val="000000"/>
                <w:sz w:val="18"/>
                <w:szCs w:val="20"/>
                <w:lang w:eastAsia="fr-FR"/>
              </w:rPr>
              <w:fldChar w:fldCharType="end"/>
            </w:r>
          </w:p>
        </w:tc>
        <w:tc>
          <w:tcPr>
            <w:tcW w:w="174" w:type="pct"/>
            <w:tcBorders>
              <w:top w:val="nil"/>
              <w:left w:val="nil"/>
              <w:bottom w:val="single" w:sz="4" w:space="0" w:color="auto"/>
              <w:right w:val="single" w:sz="4" w:space="0" w:color="auto"/>
            </w:tcBorders>
            <w:shd w:val="clear" w:color="000000" w:fill="FFFFFF"/>
            <w:textDirection w:val="btLr"/>
            <w:vAlign w:val="center"/>
          </w:tcPr>
          <w:p w14:paraId="0DE9B4B8"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vg9vxmFs","properties":{"formattedCitation":"[27]","plainCitation":"[27]","noteIndex":0},"citationItems":[{"id":"Tlgz5ME1/GHhOopBs","uris":["http://zotero.org/groups/2323309/items/QJV3BDZA"],"uri":["http://zotero.org/groups/2323309/items/QJV3BDZA"],"itemData":{"id":"Tlgz5ME1/GHhOopBs","type":"article-journal","abstract":"Background: Few studies have directly compared the competing approaches to identifying frailty in more vulnerable older populations. We examined the ability of two versions of a frailty index (43 vs. 83 items), the Cardiovascular Health Study (CHS) frailty criteria, and the CHESS scale to accurately predict the occurrence of three outcomes among Assisted Living (AL) residents followed over one year. Methods: The three frailty measures and the CHESS scale were derived from assessment items completed among 1,066 AL residents (aged 65+) participating in the Alberta Continuing Care Epidemiological Studies (ACCES). Adjusted risks of one-year mortality, hospitalization and long-term care placement were estimated for those categorized as frail or pre-frail compared with non-frail (or at high/intermediate vs. low risk on CHESS). The area under the ROC curve (AUC) was calculated for select models to assess the predictive accuracy of the different frailty measures and CHESS scale in relation to the three outcomes examined. Results: Frail subjects defined by the three approaches and those at high risk for decline on CHESS showed a statistically significant increased risk for death and long-term care placement compared with those categorized as either not frail or at low risk for decline. The risk estimates for hospitalization associated with the frailty measures and CHESS were generally weaker with one of the frailty indices (43 items) showing no significant association. For death and long-term care placement, the addition</w:instrText>
            </w:r>
            <w:r w:rsidRPr="008C0A90">
              <w:rPr>
                <w:rFonts w:ascii="Times New Roman" w:eastAsia="Times New Roman" w:hAnsi="Times New Roman"/>
                <w:color w:val="000000"/>
                <w:sz w:val="18"/>
                <w:szCs w:val="20"/>
                <w:lang w:val="en-US" w:eastAsia="fr-FR"/>
              </w:rPr>
              <w:instrText xml:space="preserve"> of frailty (however derived) or CHESS significantly improved on the AUC obtained with a model including only age, sex and co-morbidity, though the magnitude of improvement was sometimes small. The different frailty/risk models did not differ significantly from each other in predicting mortality or hospitalization; however, one of the frailty indices (83 items) showed significantly better performance over the other measures in predicting long-term care placement. Conclusions: Using different approaches, varying degrees of frailty were detected within the AL population. The various approaches to defining frailty were generally more similar than dissimilar with regard to predictive accuracy with some exceptions. The clinical implications and opportunities of detecting frailty in more vulnerable older adults require further investigation.","container-title":"BMC GERIATRICS","DOI":"10.1186/1471-2318-12-56","ISSN":"1471-2318","title":"Comparing frailty measures in their ability to predict adverse outcome among older residents of assisted living","volume":"12","author":[{"family":"Hogan","given":"David B."},{"family":"Freiheit","given":"Elizabeth A."},{"family":"Strain","given":"Laurel A."},{"family":"Patten","given":"Scott B."},{"family":"Schmaltz","given":"Heidi N."},{"family":"Rolfson","given":"Darryl"},{"family":"Maxwell","given":"Colleen J."}],"issued":{"date-parts":[["2012",9,14]]}}}],"schema":"https://github.com/citation-style-language/schema/raw/master/csl-citation.json"}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lang w:val="en-US"/>
              </w:rPr>
              <w:t>[27]</w:t>
            </w:r>
            <w:r>
              <w:rPr>
                <w:rFonts w:ascii="Times New Roman" w:eastAsia="Times New Roman" w:hAnsi="Times New Roman"/>
                <w:color w:val="000000"/>
                <w:sz w:val="18"/>
                <w:szCs w:val="20"/>
                <w:lang w:eastAsia="fr-FR"/>
              </w:rPr>
              <w:fldChar w:fldCharType="end"/>
            </w:r>
          </w:p>
        </w:tc>
        <w:tc>
          <w:tcPr>
            <w:tcW w:w="192" w:type="pct"/>
            <w:tcBorders>
              <w:top w:val="nil"/>
              <w:left w:val="nil"/>
              <w:bottom w:val="single" w:sz="4" w:space="0" w:color="auto"/>
              <w:right w:val="single" w:sz="4" w:space="0" w:color="auto"/>
            </w:tcBorders>
            <w:shd w:val="clear" w:color="000000" w:fill="FFFFFF"/>
            <w:textDirection w:val="btLr"/>
            <w:vAlign w:val="center"/>
          </w:tcPr>
          <w:p w14:paraId="59C6A958"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F2YdYYKc","properties":{"formattedCitation":"[29]","plainCitation":"[29]","noteIndex":0},"citationItems":[{"id":"Tlgz5ME1/LXklAH6P","uris":["http://zotero.org/groups/2323309/items/3ZE4M3XF"],"uri":["http://zotero.org/groups/2323309/items/3ZE4M3XF"],"itemData":{"id":"Tlgz5ME1/LXklAH6P","type":"article-journal","abstract":"Frailty appears to develop earlier and is more severe in people with intellectual disabilities compared to the general population. The high prevalence of frailty may lead to an increase in care intensity and associated health care costs. Therefore a longitudinal observational study was conducted to determine the effect of frailty on care intensity. The association between frailty and care intensity at baseline and follow-up (3 years later) was assessed. Furthermore, the ability of the frailty index to predict an increase in care intensity after 3 years was evaluated. This study was part of the Dutch `Healthy aging and intellectual disabilities' (HA-ID) study. Frailty was measured at baseline with a frailty index that included 51 health-and age-related deficits. For all participants information on care intensity in seven steps was available, based on long term care indications under the Act on Exceptional Medical Expenses (AWBZ) - a law that finances specialized long-term care. 676 participants (50 years and over) with ID were included in the final analysis. In 26% of the participants, care intensity had increased during the follow-up period. Increased care during the follow-up was related to a high frailty index score at baseline, independent of gender, age, level of ID and the presence of Down syndrome (p = 0.003). After exclusion of ADL and IADL items, the frailty index remained significantly related with increasing care intensity during follow-up (p = 0.007). Our results underline that screening instruments for early detection of frailty and effective interventions are required to limit the burden of frailty for individuals and caregivers, but also to limit health care utilization. (C) 2014 Elsevier Ltd. All rights reserved.","container-title":"RESEARCH IN DEVELOPMENTAL DISABILITIES","DOI":"10.1016/j.ridd.2014.08.006","ISSN":"0891-4222","issue":"12","page":"3455-3461","title":"The impact of frailty on care intensity in older people with intellectual disabilities","volume":"35","author":[{"family":"Schoufour","given":"Josje D."},{"family":"Evenhuis","given":"Heleen M."},{"family":"Echteld","given":"Michael A."}],"issued":{"date-parts":[["2014",12]]}}}],"schema":"https://github.com/citation-style-language/schema/raw/master/csl-citation.json"}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[29]</w:t>
            </w:r>
            <w:r>
              <w:rPr>
                <w:rFonts w:ascii="Times New Roman" w:eastAsia="Times New Roman" w:hAnsi="Times New Roman"/>
                <w:color w:val="000000"/>
                <w:sz w:val="18"/>
                <w:szCs w:val="20"/>
                <w:lang w:val="en-US" w:eastAsia="fr-FR"/>
              </w:rPr>
              <w:fldChar w:fldCharType="end"/>
            </w:r>
          </w:p>
        </w:tc>
        <w:tc>
          <w:tcPr>
            <w:tcW w:w="174" w:type="pct"/>
            <w:tcBorders>
              <w:top w:val="nil"/>
              <w:left w:val="nil"/>
              <w:bottom w:val="single" w:sz="4" w:space="0" w:color="auto"/>
              <w:right w:val="single" w:sz="4" w:space="0" w:color="auto"/>
            </w:tcBorders>
            <w:shd w:val="clear" w:color="000000" w:fill="FFFFFF"/>
            <w:textDirection w:val="btLr"/>
            <w:vAlign w:val="center"/>
          </w:tcPr>
          <w:p w14:paraId="355B7F25"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XWVk7SK5","properties":{"formattedCitation":"[20]","plainCitation":"[20]","noteIndex":0},"citationItems":[{"id":"Tlgz5ME1/en6C4HC8","uris":["http://zotero.org/groups/2323309/items/WXD6KH2R"],"uri":["http://zotero.org/groups/2323309/items/WXD6KH2R"],"itemData":{"id":"Tlgz5ME1/en6C4HC8","type":"article-journal","abstract":"Introduction: Sarcopenia is associated with an increased risk of adverse outcomes. The aim of this study was to explore the relationship between severity of sarcopenia and incident activities of daily living (ADL) disability, institutionalization, and all-cause mortality among community-dwelling older men participating in the Concord Health and Ageing in Men Project (CHAMP). Methods: Longitudinal analysis of 1705 participants aged 70 years or older at baseline (2005-2007) living in the community in Sydney, Australia. Measurements: The main outcome measures were incident ADL disability, institutionalization, and mortality. Of the 1705 participants who completed the baseline assessments, a total of 1678 men (mean age 77 years) had complete measures by dual-energy x-ray absorptiometry, to assess sarcopenia in terms of low appendicular lean mass (ALM), using the Foundation for the National Institutes of Health (FNIH) criteria. To differentiate between severity of sarcopenia we used low ALM alone (sarcopenia I), low ALM with weakness (sarcopenia II), and sarcopenia with weakness and poor gait speed (sarcopenia III). Cox proportional hazard models and logistic regression models were used to assess the risk of mortality and institutionalization, and incidence of ADL disability. Results: From baseline to follow-up, 103 (11.3%) men had incident ADL disability, 191 (11.2%) men were institutionalized, and 535 (31.9%) had died. At baseline, 14.2% had sarcopenia I, 5.3% had sarcopenia II, and 3.7% had sarcopenia III. Fully adjusted analysis (adjusted for demographics, lifestyle factors, comorbidities and health conditions, and blood measures) showed that sarcopenia I, II, and III were associated with increased risk of disability, institutionalization, and mortality. Associations between sarcopenia I, II, and III and risk of incident disability were as follows: odds ratio (OR) 2.77 95% confidence interval (CI) 1.30-5.87, OR 3.78 95% CI 1.23-11.64, and OR 4.53 95% CI 0.90-22.72; associations with institutionalization were hazard ratio (HR) 1.96 95% CI 1.14-3.35, HR 2.53 95% CI 1.31-4.90, and HR 2.27 95% CI 1.08-4.80; and with mortality were HR 1.65 95% CI 1.30-2.09, HR 1.50 95% CI 1.08-2.08, and HR 1.69 95% CI 1.17-2.44. Conclusions: This study shows that, in community-dwelling older men, sarcopenia defined by the FNIH criteria is associated with increased risk of incident disability, institutionalization, and mortality. (C) 2015 AMDA - The Society for Post-Acute and Long-Term Care Medicine.","container-title":"JOURNAL OF THE AMERICAN MEDICAL DIRECTORS ASSOCIATION","DOI":"10.1016/j.jamda.2015.02.006","ISSN":"1525-8610","issue":"7","page":"607-613","title":"Sarcopenia Is Associated With Incident Disability, Institutionalization, and Mortality in Community-Dwelling Older Men: The Concord Health and Ageing in Men Project","volume":"16","author":[{"family":"Hirani","given":"Vasant"},{"family":"Blyth","given":"Fiona"},{"family":"Naganathan","given":"Vasi"},{"family":"Le Couteur","given":"David G."},{"family":"Seibel","given":"Markus J."},{"family":"Waite","given":"Louise M."},{"family":"Handelsman","given":"David J."},{"family":"Cumming","given":"Robert G."}],"issued":{"date-parts":[["2015",7,1]]}}}],"schema":"https://github.com/citation-style-language/schema/raw/master/csl-citation.json"}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lang w:val="en-US"/>
              </w:rPr>
              <w:t>[20]</w:t>
            </w:r>
            <w:r>
              <w:rPr>
                <w:rFonts w:ascii="Times New Roman" w:eastAsia="Times New Roman" w:hAnsi="Times New Roman"/>
                <w:color w:val="000000"/>
                <w:sz w:val="18"/>
                <w:szCs w:val="20"/>
                <w:lang w:val="en-US" w:eastAsia="fr-FR"/>
              </w:rPr>
              <w:fldChar w:fldCharType="end"/>
            </w:r>
          </w:p>
        </w:tc>
        <w:tc>
          <w:tcPr>
            <w:tcW w:w="174" w:type="pct"/>
            <w:tcBorders>
              <w:top w:val="nil"/>
              <w:left w:val="nil"/>
              <w:bottom w:val="single" w:sz="4" w:space="0" w:color="auto"/>
              <w:right w:val="single" w:sz="4" w:space="0" w:color="auto"/>
            </w:tcBorders>
            <w:shd w:val="clear" w:color="000000" w:fill="FFFFFF"/>
            <w:textDirection w:val="btLr"/>
            <w:vAlign w:val="center"/>
          </w:tcPr>
          <w:p w14:paraId="122970AE"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O45KFgk7","properties":{"formattedCitation":"[19]","plainCitation":"[19]","noteIndex":0},"citationItems":[{"id":"Tlgz5ME1/nA4YZCGC","uris":["http://zotero.org/groups/2323309/items/ACPQGRIR"],"uri":["http://zotero.org/groups/2323309/items/ACPQGRIR"],"itemData":{"id":"Tlgz5ME1/nA4YZCGC","type":"article-journal","abstract":"Background: Frailty is a dynamic process with transitions over time. Objectives: To examine frailty transitions and their relationship to utilization of health services. Methods: Frailty status using the Vulnerable Elders Survey (VES-13) was determined for 608 community-dwelling older people interviewed in a 2008 national survey and for 281 re-interviewed in 2014. The effect of frailty on death 6 years later was assessed using Cox proportional hazards analysis. Participants were divided into four groups based on their frailty transition. Demographic, functional and health characteristics were compared between the four groups using the Kruskal-Wallis and paired t-test. The independent association between the four frailty groups and health services utilization was assessed using logistic regression. Results: Between 2008 and 2014, 24% of 608 participants were lost to follow-up, 9% were non-frail, 37% were frail, and 30% died. The Cox ratio showed that 86% of the non-frail in 2008 were alive 6 years later vs. 52% of the frail (hazard ratio 3.5, confidence interval 2.2–5.4). Frailty transitions in the 281 participants interviewed at both time points revealed that 19% stayed non-frail, 22% became frail, 22% stayed frail and 37% became more frail. Becoming frail, staying frail or becoming more frail compared to staying non-frail was independently associated with a greater risk for requiring help on a regular basis, having a formal caregiver, and requiring home care. Conclusions: Any transition away from the non-frail state increased the use of health care services. Interventions to target early transition to frailty should be encouraged.","archive":"Embase","container-title":"Israel Medical Association Journal","ISSN":"1565-1088","issue":"8","journalAbbreviation":"Isr. Med. Assoc. J.","language":"English","page":"449-453","title":"Frailty transitions in community-dwelling older people","volume":"18","author":[{"literal":"Bentur N."},{"literal":"Sternberg S.A."},{"literal":"Shuldiner J."}],"issued":{"date-parts":[["2016"]]}}}],"schema":"https://github.com/citation-style-language/schema/raw/master/csl-citation.json"}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[19]</w:t>
            </w:r>
            <w:r>
              <w:rPr>
                <w:rFonts w:ascii="Times New Roman" w:eastAsia="Times New Roman" w:hAnsi="Times New Roman"/>
                <w:color w:val="000000"/>
                <w:sz w:val="18"/>
                <w:szCs w:val="20"/>
                <w:lang w:val="en-US" w:eastAsia="fr-FR"/>
              </w:rPr>
              <w:fldChar w:fldCharType="end"/>
            </w:r>
          </w:p>
        </w:tc>
        <w:tc>
          <w:tcPr>
            <w:tcW w:w="196" w:type="pct"/>
            <w:tcBorders>
              <w:top w:val="nil"/>
              <w:left w:val="nil"/>
              <w:bottom w:val="single" w:sz="4" w:space="0" w:color="auto"/>
              <w:right w:val="single" w:sz="4" w:space="0" w:color="auto"/>
            </w:tcBorders>
            <w:shd w:val="clear" w:color="000000" w:fill="FFFFFF"/>
            <w:textDirection w:val="btLr"/>
            <w:vAlign w:val="center"/>
          </w:tcPr>
          <w:p w14:paraId="5AD48C90"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i0iH31k2","properties":{"formattedCitation":"[21]","plainCitation":"[21]","noteIndex":0},"citationItems":[{"id":"Tlgz5ME1/r7trlIAN","uris":["http://zotero.org/groups/2323309/items/BQWGYLBA"],"uri":["http://zotero.org/groups/2323309/items/BQWGYLBA"],"itemData":{"id":"Tlgz5ME1/r7trlIAN","type":"article-journal","abstract":"The concept of frailty is rapidly gaining attention as an independent syndrome with high prevalence in older adults. Thereby, frailty is often related to certain adverse outcomes like mortality or disability. Another adverse outcome discussed is increased health care utilization. However, only few studies examined the impact of frailty on health care utilization and corresponding costs. The aim of this study was therefore to investigate comprehensively the relationship between frailty, health care utilization and costs.","container-title":"BMC Health Services Research","DOI":"10.1186/s12913-016-1360-3","ISSN":"1472-6963","issue":"1","journalAbbreviation":"BMC Health Services Research","page":"128","source":"BioMed Central","title":"Associations of frailty with health care costs – results of the ESTHER cohort study","volume":"16","author":[{"family":"Bock","given":"Jens-Oliver"},{"family":"König","given":"Hans-Helmut"},{"family":"Brenner","given":"Hermann"},{"family":"Haefeli","given":"Walter E."},{"family":"Quinzler","given":"Renate"},{"family":"Matschinger","given":"Herbert"},{"family":"Saum","given":"Kai-Uwe"},{"family":"Schöttker","given":"Ben"},{"family":"Heider","given":"Dirk"}],"issued":{"date-parts":[["2016",4,14]]}}}],"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[21]</w:t>
            </w:r>
            <w:r>
              <w:rPr>
                <w:rFonts w:ascii="Times New Roman" w:eastAsia="Times New Roman" w:hAnsi="Times New Roman"/>
                <w:color w:val="000000"/>
                <w:sz w:val="18"/>
                <w:szCs w:val="20"/>
                <w:lang w:val="en-US" w:eastAsia="fr-FR"/>
              </w:rPr>
              <w:fldChar w:fldCharType="end"/>
            </w:r>
          </w:p>
        </w:tc>
        <w:tc>
          <w:tcPr>
            <w:tcW w:w="231" w:type="pct"/>
            <w:tcBorders>
              <w:top w:val="nil"/>
              <w:left w:val="nil"/>
              <w:bottom w:val="single" w:sz="4" w:space="0" w:color="auto"/>
              <w:right w:val="single" w:sz="4" w:space="0" w:color="auto"/>
            </w:tcBorders>
            <w:shd w:val="clear" w:color="000000" w:fill="FFFFFF"/>
            <w:textDirection w:val="btLr"/>
            <w:vAlign w:val="center"/>
          </w:tcPr>
          <w:p w14:paraId="272169D9"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IwEmVhIi","properties":{"formattedCitation":"[30]","plainCitation":"[30]","noteIndex":0},"citationItems":[{"id":"Tlgz5ME1/gPbw0VcX","uris":["http://zotero.org/groups/2323309/items/E7PBGZVI"],"uri":["http://zotero.org/groups/2323309/items/E7PBGZVI"],"itemData":{"id":"Tlgz5ME1/gPbw0VcX","type":"article-journal","abstract":"ObjectivesDementia draws on a variety of public and private resources. There is increasing pressure to define the cost components in this area to improve resource allocation and accountability. The aim of this study was to characterize frailty in a group of cognitively impaired community-dwelling elders and evaluate its relationship with cost and resource utilization. MethodsWe assessed a cross-sectional, convenient sample of 115 cognitively impaired patients of age &gt;55years who attended the National Memory Clinic in St James' University Hospital, a Trinity College-affiliated hospital in Dublin, Ireland. Participants had a clinical diagnosis of possible Alzheimer's disease or mild cognitive impairment. Frailty was measured using the biological syndrome model. Formal health and social care costs and daily informal caregiving costs were collected and the total costs of care estimated by applying the appropriate unit cost estimate for each resource activity. Stepwise regression models were constructed to establish the factors associated with increased care costs. ResultsPatient dependence, frailty and number of co-morbid illnesses explained 43.3% of the variance in observed daily informal care costs in dementia and cognitively impaired patients. Dependence was the sole factor retained in an optimal model explaining 19% of the variance in formal health and social care costs. ConclusionFrailty retained a strong association with daily informal care costs even in the context of other known risk factors for increasing care costs. Interventions that reduce frailty as well as patient dependence on others may be associated with cost savings. Copyright (c) 2015 John Wiley &amp; Sons, Ltd.","container-title":"INTERNATIONAL JOURNAL OF GERIATRIC PSYCHIATRY","DOI":"10.1002/gps.4306","ISSN":"0885-6230","issue":"2","page":"161-168","title":"Frailty: a costly phenomenon in caring for elders with cognitive impairment","volume":"31","author":[{"family":"Butler","given":"Aine"},{"family":"Gallagher","given":"Damien"},{"family":"Gillespie","given":"Paddy"},{"family":"Crosby","given":"Lisa"},{"family":"Ryan","given":"Deirdre"},{"family":"Lacey","given":"Loretto"},{"family":"Coen","given":"Robert"},{"family":"O'Shea","given":"Eamon"},{"family":"Lawlor","given":"Brian"}],"issued":{"date-parts":[["2016",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[30]</w:t>
            </w:r>
            <w:r>
              <w:rPr>
                <w:rFonts w:ascii="Times New Roman" w:eastAsia="Times New Roman" w:hAnsi="Times New Roman"/>
                <w:color w:val="000000"/>
                <w:sz w:val="18"/>
                <w:szCs w:val="20"/>
                <w:lang w:val="en-US" w:eastAsia="fr-FR"/>
              </w:rPr>
              <w:fldChar w:fldCharType="end"/>
            </w:r>
          </w:p>
        </w:tc>
        <w:tc>
          <w:tcPr>
            <w:tcW w:w="229" w:type="pct"/>
            <w:tcBorders>
              <w:top w:val="nil"/>
              <w:left w:val="nil"/>
              <w:bottom w:val="single" w:sz="4" w:space="0" w:color="auto"/>
              <w:right w:val="single" w:sz="4" w:space="0" w:color="auto"/>
            </w:tcBorders>
            <w:shd w:val="clear" w:color="000000" w:fill="FFFFFF"/>
            <w:textDirection w:val="btLr"/>
            <w:vAlign w:val="center"/>
          </w:tcPr>
          <w:p w14:paraId="47E67523"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oYCUZSUt","properties":{"formattedCitation":"[28]","plainCitation":"[28]","noteIndex":0},"citationItems":[{"id":"Tlgz5ME1/Cje3Gphi","uris":["http://zotero.org/groups/2323309/items/FCY6SQWP"],"uri":["http://zotero.org/groups/2323309/items/FCY6SQWP"],"itemData":{"id":"Tlgz5ME1/Cje3Gphi","type":"article-journal","abstract":"Background: Evaluating different approaches to identifying frail home care clients at heightened risk for adverse health outcomes is an important but understudied area. Our objectives were to determine the prevalence and correlates of frailty (as operationally defined by three measures) in a home care cohort, the agreement between these measures, and their predictive validity for several outcomes assessed over one year. Methods: We conducted a retrospective cohort study with linked population-based administrative and clinical (Resident Assessment Instrument [RAI]) data for all long-stay home care clients (aged 66+) assessed between April 2010-2013 in Ontario, Canada (n = 234,552). We examined two versions of a frailty index (FI), a full and modified FI, and the CHESS scale, compared their baseline characteristics and their predictive accuracy (by calculating the area under the ROC curve [AUC]) for death, long-term care (LTC) admission, and hospitalization endpoints in models adjusted for age, sex and comorbidity. Results: Frailty prevalence varied by measure (19.5, 24.4 and 44.1 %, for full FI, modified FI and CHESS, respectively) and was similar among female and male clients. All three measures were associated with a significantly increased risk of death, LTC admission and hospitalization endpoints in adjusted analyses but their addition to base models resulted in modest improvement for most AUC estimates. There were significant differences between measures in predictive accuracy, with the full FI demonstrating a higher AUC for LTC admission and CHESS a higher AUC for hospitalization - although none of the measures performed well for the hospitalization endpoints. Conclusions: The different approaches to detecting vulnerability resulted in different estimates of frailty prevalence among home care clients in Ontario. Although all three measures were significant predictors of the health outcomes examined, the gains in predictive accuracy were often modest with the exception of the full FI in predicting LTC admission. Our findings provide some support for the clinical utility of a comprehensive FI measure and also illustrate that it is feasible to derive such a measure at the population level using routinely collected data. This may facilitate further research on frailty in this setting, including the development and evaluation of interventions for frailty.","container-title":"BMC GERIATRICS","DOI":"10.1186/s12877-016-0309-z","ISSN":"1471-2318","title":"The prevalence and health consequences of frailty in a population-based older home care cohort: a comparison of different measures","volume":"16","author":[{"family":"Campitelli","given":"Michael A."},{"family":"Bronskill","given":"Susan E."},{"family":"Hogan","given":"David B."},{"family":"Diong","given":"Christina"},{"family":"Amuah","given":"Joseph E."},{"family":"Gill","given":"Sudeep"},{"family":"Seitz","given":"Dallas"},{"family":"Thavorn","given":"Kednapa"},{"family":"Wodchis","given":"Walter P."},{"family":"Maxwell","given":"Colleen J."}],"issued":{"date-parts":[["2016",7,7]]}}}],"schema":"https://github.com/citation-style-language/schema/raw/master/csl-citation.json"}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lang w:val="en-US"/>
              </w:rPr>
              <w:t>[28]</w:t>
            </w:r>
            <w:r>
              <w:rPr>
                <w:rFonts w:ascii="Times New Roman" w:eastAsia="Times New Roman" w:hAnsi="Times New Roman"/>
                <w:color w:val="000000"/>
                <w:sz w:val="18"/>
                <w:szCs w:val="20"/>
                <w:lang w:val="en-US" w:eastAsia="fr-FR"/>
              </w:rPr>
              <w:fldChar w:fldCharType="end"/>
            </w:r>
          </w:p>
        </w:tc>
        <w:tc>
          <w:tcPr>
            <w:tcW w:w="266" w:type="pct"/>
            <w:tcBorders>
              <w:top w:val="nil"/>
              <w:left w:val="nil"/>
              <w:bottom w:val="single" w:sz="4" w:space="0" w:color="auto"/>
              <w:right w:val="single" w:sz="4" w:space="0" w:color="auto"/>
            </w:tcBorders>
            <w:shd w:val="clear" w:color="000000" w:fill="FFFFFF"/>
            <w:textDirection w:val="btLr"/>
            <w:vAlign w:val="center"/>
          </w:tcPr>
          <w:p w14:paraId="6F28883E"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MbTw8qNF","properties":{"formattedCitation":"[31]","plainCitation":"[31]","noteIndex":0},"citationItems":[{"id":"Tlgz5ME1/VOzqoHYm","uris":["http://zotero.org/groups/2323309/items/3F3VBBQA"],"uri":["http://zotero.org/groups/2323309/items/3F3VBBQA"],"itemData":{"id":"Tlgz5ME1/VOzqoHYm","type":"article-journal","abstract":"AbstractBackground. .  The identification of an objective evaluation of frailty capable of predicting adverse outcomes in Alzheimer’s disease is increasingly di","container-title":"The Journals of Gerontology: Series A","DOI":"10.1093/gerona/glv137","ISSN":"1079-5006","issue":"4","journalAbbreviation":"J Gerontol A Biol Sci Med Sci","language":"en","page":"543-548","source":"academic.oup.com","title":"Frailty Index and Incident Mortality, Hospitalization, and Institutionalization in Alzheimer’s Disease: Data From the ICTUS Study","title-short":"Frailty Index and Incident Mortality, Hospitalization, and Institutionalization in Alzheimer’s Disease","volume":"71","author":[{"family":"Kelaiditi","given":"Eirini"},{"family":"Andrieu","given":"Sandrine"},{"family":"Cantet","given":"Christelle"},{"family":"Vellas","given":"Bruno"},{"family":"Cesari","given":"Matteo"}],"issued":{"date-parts":[["2016",4,1]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[31]</w:t>
            </w:r>
            <w:r>
              <w:rPr>
                <w:rFonts w:ascii="Times New Roman" w:eastAsia="Times New Roman" w:hAnsi="Times New Roman"/>
                <w:color w:val="000000"/>
                <w:sz w:val="18"/>
                <w:szCs w:val="20"/>
                <w:lang w:val="en-US" w:eastAsia="fr-FR"/>
              </w:rPr>
              <w:fldChar w:fldCharType="end"/>
            </w:r>
          </w:p>
        </w:tc>
        <w:tc>
          <w:tcPr>
            <w:tcW w:w="266" w:type="pct"/>
            <w:tcBorders>
              <w:top w:val="nil"/>
              <w:left w:val="nil"/>
              <w:bottom w:val="single" w:sz="4" w:space="0" w:color="auto"/>
              <w:right w:val="single" w:sz="4" w:space="0" w:color="auto"/>
            </w:tcBorders>
            <w:shd w:val="clear" w:color="000000" w:fill="FFFFFF"/>
            <w:textDirection w:val="btLr"/>
            <w:vAlign w:val="center"/>
          </w:tcPr>
          <w:p w14:paraId="00FFAC23"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y0vyDkTZ","properties":{"formattedCitation":"[22]","plainCitation":"[22]","noteIndex":0},"citationItems":[{"id":"Tlgz5ME1/KOzpAbQu","uris":["http://zotero.org/groups/2323309/items/FRMGSS2W"],"uri":["http://zotero.org/groups/2323309/items/FRMGSS2W"],"itemData":{"id":"Tlgz5ME1/KOzpAbQu","type":"article-journal","abstract":"Background\nDespite several attempts to reach a single definition of frailty, no consensus has been reached. The definitions previously published have tried to prove its utility in predicting negative health outcomes. The objective of the present study is to compare the predictive value of 3 different frailty instruments, for selected outcomes.\nMethods\nThe study sample includes 1278 participants of the Three-City study, a French prospective population-based study, assessed for frailty using Fried's phenotype criteria, Rockwood's Frailty Index and Tilburg Frailty Indicator. To assess the risk of mortality, incident disability, falls, institutionalization and hospitalization for a follow up period of 12 years, Cox proportional hazard models with delayed entry have been used. The area under the time-dependent ROC curve has been used to estimate and compare the ability of the three instruments of frailty to predict the previous adverse outcomes at 12 years.\nResults\nFive hundred ninety four participants were identified as non-robust with Fried's criteria; 169 with Rockwood's FI and 303 with TFI. The three scales consistently identified 91 participants as non-robust and 574 as robust. Rockwood's FI was a statistically significant predictor of mortality, incident disability and falls, and a strong predictor of hospitalization.\nConclusion\nIn the absence of a “gold standard” definition of frailty, a debate on what measures and how to include them is open. A clue may be that one should select the appropriate definition according to the to-be predicted outcome, the setting and the underlying etiology of frailty.","container-title":"Archives of Gerontology and Geriatrics","DOI":"10.1016/j.archger.2017.06.005","ISSN":"0167-4943","journalAbbreviation":"Archives of Gerontology and Geriatrics","page":"153-163","source":"ScienceDirect","title":"Comparing the predictive value of three definitions of frailty: Results from the Three-City study.","title-short":"Comparing the predictive value of three definitions of frailty","volume":"72","author":[{"family":"Gonzalez-Colaço Harmand","given":"Magali"},{"family":"Meillon","given":"Céline"},{"family":"Bergua","given":"Valérie"},{"family":"Tabue Teguo","given":"Maturin"},{"family":"Dartigues","given":"Jean-François"},{"family":"Avila-Funes","given":"José Alberto"},{"family":"Amieva","given":"Hélène"}],"issued":{"date-parts":[["2017",9,1]]}}}],"schema":"https://github.com/citation-style-language/schema/raw/master/csl-citation.json"}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[22]</w:t>
            </w:r>
            <w:r>
              <w:rPr>
                <w:rFonts w:ascii="Times New Roman" w:eastAsia="Times New Roman" w:hAnsi="Times New Roman"/>
                <w:color w:val="000000"/>
                <w:sz w:val="18"/>
                <w:szCs w:val="20"/>
                <w:lang w:val="en-US" w:eastAsia="fr-FR"/>
              </w:rPr>
              <w:fldChar w:fldCharType="end"/>
            </w:r>
          </w:p>
        </w:tc>
        <w:tc>
          <w:tcPr>
            <w:tcW w:w="333" w:type="pct"/>
            <w:tcBorders>
              <w:top w:val="nil"/>
              <w:left w:val="nil"/>
              <w:bottom w:val="single" w:sz="4" w:space="0" w:color="auto"/>
              <w:right w:val="single" w:sz="4" w:space="0" w:color="auto"/>
            </w:tcBorders>
            <w:shd w:val="clear" w:color="auto" w:fill="auto"/>
            <w:textDirection w:val="btLr"/>
            <w:vAlign w:val="center"/>
          </w:tcPr>
          <w:p w14:paraId="6B7B66B2"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tDLnP3pA","properties":{"formattedCitation":"[23]","plainCitation":"[23]","noteIndex":0},"citationItems":[{"id":"Tlgz5ME1/qVuImVNC","uris":["http://zotero.org/groups/2323309/items/DY2KLTX2"],"uri":["http://zotero.org/groups/2323309/items/DY2KLTX2"],"itemData":{"id":"Tlgz5ME1/qVuImVNC","type":"article-journal","abstract":"BACKGROUND: Frailty is a strong indicator of vulnerability among older persons, but its association with ICU outcomes has not been evaluated prospectively (ie, with objectivemeasurements obtained prior to ICU admission). Our objective was to prospectively evaluate the relationship between frailty and post-ICU disability, incident nursing home admission, and death. METHODS: The parent cohort included 754 adults aged &gt;= 70 years, who were evaluated monthly for disability in 13 functional activities and every 18 months for frailty (1998-2014). Frailty was assessed using the Fried index, where frailty, prefrailty, and nonfrailty were defined, respectively, as at least three, one or two, and zero criteria (of five). The analytic sample included 391 ICU admissions. RESULTS: The mean age was 84.0 years. Frailty and prefrailty were present prior to 213 (54.5%) and 140 (35.8%) of the 391 admissions, respectively. Relative to nonfrailty, frailty was associated with 41% greater disability over the 6 months following a critical illness (adjusted risk ratio, 1.41; 95% CI, 1.12-1.78); prefrailty conferred 28% greater disability (adjusted risk ratio, 1.28; 95% CI, 1.01-1.63). Frailty (odds ratio, 3.52; 95% CI, 1.23-10.08), but not prefrailty (odds ratio, 2.01; 95% CI, 0.77-5.24), was associated with increased nursing home admission. Each one-point increase in frailty count (range, 0-5) was associated with double the likelihood of death (hazard ratio, 2.00; 95% CI, 1.33-3.00) through 6 months of follow-up. CONCLUSIONS: Pre-ICU frailty status was associated with increased post-ICU disability and new nursing home admission among ICU survivors, and death among all admissions. Pre-ICU frailty status may provide prognostic information about outcomes after a critical illness.","container-title":"Chest","DOI":"10.1016/j.chest.2018.03.007","ISSN":"0012-3692","issue":"6","page":"1378-1386","title":"The Association of Frailty With Post-ICU Disability, Nursing Home Admission, and Mortality A Longitudinal Study","volume":"153","author":[{"family":"Ferrante","given":"Lauren E."},{"family":"Pisani","given":"Margaret A."},{"family":"Murphy","given":"Terrence E."},{"family":"Gahbauer","given":"Evelyne A."},{"family":"Leo-Summers","given":"Linda S."},{"family":"Gill","given":"Thomas M."}],"issued":{"date-parts":[["2018",6]]}}}],"schema":"https://github.com/citation-style-language/schema/raw/master/csl-citation.json"}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[23]</w:t>
            </w:r>
            <w:r>
              <w:rPr>
                <w:rFonts w:ascii="Times New Roman" w:eastAsia="Times New Roman" w:hAnsi="Times New Roman"/>
                <w:color w:val="000000"/>
                <w:sz w:val="18"/>
                <w:szCs w:val="20"/>
                <w:lang w:val="en-US" w:eastAsia="fr-FR"/>
              </w:rPr>
              <w:fldChar w:fldCharType="end"/>
            </w:r>
          </w:p>
        </w:tc>
        <w:tc>
          <w:tcPr>
            <w:tcW w:w="197" w:type="pct"/>
            <w:tcBorders>
              <w:top w:val="nil"/>
              <w:left w:val="nil"/>
              <w:bottom w:val="single" w:sz="4" w:space="0" w:color="auto"/>
              <w:right w:val="single" w:sz="4" w:space="0" w:color="auto"/>
            </w:tcBorders>
            <w:shd w:val="clear" w:color="auto" w:fill="auto"/>
            <w:textDirection w:val="btLr"/>
            <w:vAlign w:val="center"/>
          </w:tcPr>
          <w:p w14:paraId="781FAC67"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cj8BxwUa","properties":{"formattedCitation":"[24]","plainCitation":"[24]","noteIndex":0},"citationItems":[{"id":"Tlgz5ME1/jIgbjt3N","uris":["http://zotero.org/groups/2323309/items/WKK5RUW4"],"uri":["http://zotero.org/groups/2323309/items/WKK5RUW4"],"itemData":{"id":"Tlgz5ME1/jIgbjt3N","type":"article-journal","abstract":"Objective: to investigate how frailty and frailty symptoms affect healthcare costs in older age longitudinally. Methods: data were gathered from a prospective cohort study in Saarland, Germany (two waves with 3-year interval, n = 1,636 aged 57-84 years at baseline). Frailty was assessed by the five Fried frailty criteria. Frailty was defined as having at least three criteria, the presence of 1-2 criteria as `pre-frail'. Healthcare costs were quantified based on self-reported healthcare use in the sectors of inpatient treatment, outpatient treatment, professional nursing care and informal care as well as the provision of pharmaceuticals, medical supplies and dental prostheses. Results: while the onset of pre-frailty did not increase (log) total healthcare costs after adjusting for potential confounders including comorbidity, progression from non-frailty to frailty was associated with an increase in total healthcare costs (for example, costs increased by similar to 54 and 101% if 3 and 4 or 5 symptoms were present, respectively). This association of frailty onset with increased healthcare costs was in particular observed in the inpatient sector and for informal nursing care. Among the frailty symptoms, the onset of exhaustion was associated with an increase in total healthcare costs, whereas changes in slowness, weakness, weight loss and low-physical activity were not significantly associated with an increase in total healthcare costs. Conclusions: our data stress the economic relevance of frailty in late life. Postponing or reducing frailty might be fruitful in order to reduce healthcare costs.","container-title":"Age and Ageing","DOI":"10.1093/ageing/afx157","ISSN":"0002-0729","issue":"2","page":"233-241","title":"Frailty and healthcare costs-longitudinal results of a prospective cohort study","volume":"47","author":[{"family":"Hajek","given":"Andre"},{"family":"Bock","given":"Jens-Oliver"},{"family":"Saum","given":"Kai-Uwe"},{"family":"Matschinger","given":"Herbert"},{"family":"Brenner","given":"Hermann"},{"family":"Holleczek","given":"Bernd"},{"family":"Haefeli","given":"Walter E."},{"family":"Heider","given":"Dirk"},{"family":"Koenig","given":"Hans-Helmut"}],"issued":{"date-parts":[["2018",3]]}}}],"schema":"https://github.com/citation-style-language/schema/raw/master/csl-citation.json"}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[24]</w:t>
            </w:r>
            <w:r>
              <w:rPr>
                <w:rFonts w:ascii="Times New Roman" w:eastAsia="Times New Roman" w:hAnsi="Times New Roman"/>
                <w:color w:val="000000"/>
                <w:sz w:val="18"/>
                <w:szCs w:val="20"/>
                <w:lang w:val="en-US" w:eastAsia="fr-FR"/>
              </w:rPr>
              <w:fldChar w:fldCharType="end"/>
            </w:r>
          </w:p>
        </w:tc>
        <w:tc>
          <w:tcPr>
            <w:tcW w:w="231" w:type="pct"/>
            <w:tcBorders>
              <w:top w:val="nil"/>
              <w:left w:val="nil"/>
              <w:bottom w:val="single" w:sz="4" w:space="0" w:color="auto"/>
              <w:right w:val="single" w:sz="4" w:space="0" w:color="auto"/>
            </w:tcBorders>
            <w:shd w:val="clear" w:color="auto" w:fill="auto"/>
            <w:textDirection w:val="btLr"/>
            <w:vAlign w:val="center"/>
          </w:tcPr>
          <w:p w14:paraId="7225ECD1" w14:textId="77777777" w:rsidR="00EE4BF0" w:rsidRPr="00E85D55" w:rsidRDefault="00EE4BF0" w:rsidP="007D1DAE">
            <w:pPr>
              <w:spacing w:after="0" w:line="240" w:lineRule="auto"/>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b7PlVdov","properties":{"formattedCitation":"[25]","plainCitation":"[25]","noteIndex":0},"citationItems":[{"id":"Tlgz5ME1/w8zQzNF6","uris":["http://zotero.org/groups/2323309/items/KM7X4SHD"],"uri":["http://zotero.org/groups/2323309/items/KM7X4SHD"],"itemData":{"id":"Tlgz5ME1/w8zQzNF6","type":"article-journal","abstract":"Objectives: This study examines different combinations of informal and formal care use of older adults and investigates whether these combinations differ in terms of need for care (physical and psychological frailty) and enabling factors for informal and formal care use (social and environmental frailty). Methods: Using cross-sectional data from the Belgian Ageing Studies (survey, N = 38,066 community-dwelling older adults), Latent Class Analysis (LCA) is used to identify combinations of informal and formal care use. Bivariate analyses are used to explore the relationship between the different combinations of care use and frailty. Results: Latent Class Analysis (LCA) identified 8 different types of care use, which vary in combinations of informal and formal caregivers. Older adults who are more likely to combine care from family and care from all types of formal caregivers are more physically, psychologically and environmentally frail than expected. Older adults who are more likely to receive care only from nuclear family, or only from formal caregivers are more socially frail than expected. Conclusions: Older adults with a higher need for care are more likely to receive care from different types of informal and formal caregivers. High environmental frailty and low social frailty are related with the use of care from different types of informal and formal caregivers. This study confirms that informal care can act as substitute for formal care. However, this substitute relationship becomes a complementary relationship in frail older adults. Policymakers should take into account that frailty in older adults affects the use of informal and formal care.","container-title":"ARCHIVES OF GERONTOLOGY AND GERIATRICS","DOI":"10.1016/j.archger.2018.05.018","ISSN":"0167-4943","page":"69-77","title":"Frailty differences in older adults' use of informal and formal care","volume":"79","author":[{"family":"Lambotte","given":"Deborah"},{"family":"De Donder","given":"Liesbeth"},{"family":"Van Regenmortel","given":"Sofie"},{"family":"Fret","given":"Bram"},{"family":"Dury","given":"Sarah"},{"family":"Smetcoren","given":"An-Sofie"},{"family":"Dierckx","given":"Eva"},{"family":"De Witte","given":"Nico"},{"family":"Verte","given":"Dominique"},{"family":"Kardol","given":"Martinus J. M."},{"family":"Consortium","given":"D.-SCOPE"}],"issued":{"date-parts":[["2018",12]]}}}],"schema":"https://github.com/citation-style-language/schema/raw/master/csl-citation.json"}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[25]</w:t>
            </w:r>
            <w:r>
              <w:rPr>
                <w:rFonts w:ascii="Times New Roman" w:eastAsia="Times New Roman" w:hAnsi="Times New Roman"/>
                <w:color w:val="000000"/>
                <w:sz w:val="18"/>
                <w:szCs w:val="20"/>
                <w:lang w:val="en-US" w:eastAsia="fr-FR"/>
              </w:rPr>
              <w:fldChar w:fldCharType="end"/>
            </w:r>
          </w:p>
        </w:tc>
        <w:tc>
          <w:tcPr>
            <w:tcW w:w="265" w:type="pct"/>
            <w:tcBorders>
              <w:top w:val="nil"/>
              <w:left w:val="nil"/>
              <w:bottom w:val="single" w:sz="4" w:space="0" w:color="auto"/>
              <w:right w:val="single" w:sz="4" w:space="0" w:color="auto"/>
            </w:tcBorders>
            <w:shd w:val="clear" w:color="auto" w:fill="auto"/>
            <w:textDirection w:val="btLr"/>
            <w:vAlign w:val="center"/>
          </w:tcPr>
          <w:p w14:paraId="33FB0271" w14:textId="77777777" w:rsidR="00EE4BF0" w:rsidRPr="00E85D55" w:rsidRDefault="00EE4BF0" w:rsidP="007D1DAE">
            <w:pPr>
              <w:spacing w:after="0" w:line="240" w:lineRule="auto"/>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efCcZq3O","properties":{"formattedCitation":"[26]","plainCitation":"[26]","noteIndex":0},"citationItems":[{"id":"Tlgz5ME1/rEvRhjP6","uris":["http://zotero.org/groups/2323309/items/2UZ657EB"],"uri":["http://zotero.org/groups/2323309/items/2UZ657EB"],"itemData":{"id":"Tlgz5ME1/rEvRhjP6","type":"article-journal","abstract":"The growth in the numbers of older adults needing long-term care has resulted in rising costs which have forced the Dutch government to change its long-term care system. Now, the local authorities have greater responsibility for supporting older adults and in prolonging independent living with increased support provided by the social network. However, it is unclear whether these older adults have such a network to rely upon. The objective of this study was to gain insight into the providers of formal and informal care to older adults, and to assess possible differences between older adults who are frail and those who are not. In addition, we investigated their care and support needs. We used data from a quantitative survey using a cross-sectional design in different regions of the Netherlands from July until September 2014 (n=181). Frailty was measured using the Tilburg Frailty indicator. To analyse the data chi-square tests, crosstabs and odds ratios were used for dichotomous data and the Mann-Whitney U-Test for nominal data. The number of formal care providers involved was significantly higher (median=2) for those deemed frail than for those not deemed frail (median=1), U=2,130, p&lt;.005. However, more than one-third of the respondents deemed frail did not get the care or support they needed (33.7%). There was a significant positive association between being frail and having an informal care provider ((2)=18.78, df=1, p&lt;.005). However, more than one-third of those deemed frail did not have an informal care provider (36.8%). One-third of older adults deemed to be frail did not have their needs sufficiently addressed by their care network. For a substantial part of this group of older adults, the informal network seems to be unable to support them sufficiently. Additional attention for their needs and wishes is required to implement the policy reforms successfully.","container-title":"Health &amp; Social Care in the Community","DOI":"10.1111/hsc.12539","ISSN":"0966-0410","issue":"3","page":"e404-e414","title":"Care and support for older adults in The Netherlands living independently","volume":"26","author":[{"family":"Verver","given":"Didi"},{"family":"Merten","given":"Hanneke"},{"family":"Robben","given":"Paul"},{"family":"Wagner","given":"Cordula"}],"issued":{"date-parts":[["2018",5]]}}}],"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[26]</w:t>
            </w:r>
            <w:r>
              <w:rPr>
                <w:rFonts w:ascii="Times New Roman" w:eastAsia="Times New Roman" w:hAnsi="Times New Roman"/>
                <w:color w:val="000000"/>
                <w:sz w:val="18"/>
                <w:szCs w:val="20"/>
                <w:lang w:val="en-US" w:eastAsia="fr-FR"/>
              </w:rPr>
              <w:fldChar w:fldCharType="end"/>
            </w:r>
          </w:p>
        </w:tc>
        <w:tc>
          <w:tcPr>
            <w:tcW w:w="290" w:type="pct"/>
            <w:tcBorders>
              <w:top w:val="nil"/>
              <w:left w:val="nil"/>
              <w:bottom w:val="single" w:sz="4" w:space="0" w:color="auto"/>
              <w:right w:val="single" w:sz="4" w:space="0" w:color="auto"/>
            </w:tcBorders>
            <w:textDirection w:val="btLr"/>
          </w:tcPr>
          <w:p w14:paraId="3F996DE9" w14:textId="77777777" w:rsidR="00EE4BF0" w:rsidRPr="00E85D55" w:rsidRDefault="00EE4BF0" w:rsidP="007D1DAE">
            <w:pPr>
              <w:spacing w:after="0" w:line="240" w:lineRule="auto"/>
              <w:jc w:val="center"/>
              <w:rPr>
                <w:rFonts w:ascii="Times New Roman" w:eastAsia="Times New Roman" w:hAnsi="Times New Roman"/>
                <w:color w:val="000000"/>
                <w:sz w:val="20"/>
                <w:szCs w:val="20"/>
                <w:lang w:val="en-US" w:eastAsia="fr-FR"/>
              </w:rPr>
            </w:pPr>
          </w:p>
        </w:tc>
      </w:tr>
      <w:tr w:rsidR="00EE4BF0" w:rsidRPr="00E85D55" w14:paraId="078B1E91" w14:textId="77777777" w:rsidTr="007D1DAE">
        <w:trPr>
          <w:trHeight w:val="827"/>
        </w:trPr>
        <w:tc>
          <w:tcPr>
            <w:tcW w:w="106" w:type="pct"/>
            <w:tcBorders>
              <w:top w:val="nil"/>
              <w:left w:val="single" w:sz="4" w:space="0" w:color="auto"/>
              <w:bottom w:val="single" w:sz="4" w:space="0" w:color="auto"/>
              <w:right w:val="single" w:sz="4" w:space="0" w:color="auto"/>
            </w:tcBorders>
            <w:shd w:val="clear" w:color="000000" w:fill="F2F2F2"/>
            <w:noWrap/>
            <w:vAlign w:val="center"/>
          </w:tcPr>
          <w:p w14:paraId="1A16D482"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color w:val="000000"/>
                <w:sz w:val="20"/>
                <w:szCs w:val="20"/>
              </w:rPr>
              <w:t> </w:t>
            </w:r>
          </w:p>
        </w:tc>
        <w:tc>
          <w:tcPr>
            <w:tcW w:w="882" w:type="pct"/>
            <w:tcBorders>
              <w:top w:val="nil"/>
              <w:left w:val="nil"/>
              <w:bottom w:val="single" w:sz="4" w:space="0" w:color="auto"/>
              <w:right w:val="single" w:sz="4" w:space="0" w:color="auto"/>
            </w:tcBorders>
            <w:shd w:val="clear" w:color="000000" w:fill="F2F2F2"/>
            <w:noWrap/>
            <w:vAlign w:val="center"/>
          </w:tcPr>
          <w:p w14:paraId="78E3315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Analyses</w:t>
            </w:r>
          </w:p>
        </w:tc>
        <w:tc>
          <w:tcPr>
            <w:tcW w:w="182" w:type="pct"/>
            <w:tcBorders>
              <w:top w:val="nil"/>
              <w:left w:val="nil"/>
              <w:bottom w:val="single" w:sz="4" w:space="0" w:color="auto"/>
              <w:right w:val="single" w:sz="4" w:space="0" w:color="auto"/>
            </w:tcBorders>
            <w:shd w:val="clear" w:color="000000" w:fill="F2F2F2"/>
            <w:vAlign w:val="center"/>
          </w:tcPr>
          <w:p w14:paraId="3EE9376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4" w:type="pct"/>
            <w:tcBorders>
              <w:top w:val="nil"/>
              <w:left w:val="nil"/>
              <w:bottom w:val="single" w:sz="4" w:space="0" w:color="auto"/>
              <w:right w:val="single" w:sz="4" w:space="0" w:color="auto"/>
            </w:tcBorders>
            <w:shd w:val="clear" w:color="000000" w:fill="F2F2F2"/>
            <w:vAlign w:val="center"/>
          </w:tcPr>
          <w:p w14:paraId="13FECE2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4" w:type="pct"/>
            <w:tcBorders>
              <w:top w:val="nil"/>
              <w:left w:val="nil"/>
              <w:bottom w:val="single" w:sz="4" w:space="0" w:color="auto"/>
              <w:right w:val="single" w:sz="4" w:space="0" w:color="auto"/>
            </w:tcBorders>
            <w:shd w:val="clear" w:color="000000" w:fill="F2F2F2"/>
            <w:vAlign w:val="center"/>
          </w:tcPr>
          <w:p w14:paraId="3138357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28" w:type="pct"/>
            <w:tcBorders>
              <w:top w:val="nil"/>
              <w:left w:val="nil"/>
              <w:bottom w:val="single" w:sz="4" w:space="0" w:color="auto"/>
              <w:right w:val="single" w:sz="4" w:space="0" w:color="auto"/>
            </w:tcBorders>
            <w:shd w:val="clear" w:color="000000" w:fill="F2F2F2"/>
            <w:vAlign w:val="center"/>
          </w:tcPr>
          <w:p w14:paraId="5467FB0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74" w:type="pct"/>
            <w:tcBorders>
              <w:top w:val="nil"/>
              <w:left w:val="nil"/>
              <w:bottom w:val="single" w:sz="4" w:space="0" w:color="auto"/>
              <w:right w:val="single" w:sz="4" w:space="0" w:color="auto"/>
            </w:tcBorders>
            <w:shd w:val="clear" w:color="000000" w:fill="F2F2F2"/>
            <w:vAlign w:val="center"/>
          </w:tcPr>
          <w:p w14:paraId="3415615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2" w:type="pct"/>
            <w:tcBorders>
              <w:top w:val="nil"/>
              <w:left w:val="nil"/>
              <w:bottom w:val="single" w:sz="4" w:space="0" w:color="auto"/>
              <w:right w:val="single" w:sz="4" w:space="0" w:color="auto"/>
            </w:tcBorders>
            <w:shd w:val="clear" w:color="000000" w:fill="F2F2F2"/>
            <w:vAlign w:val="center"/>
          </w:tcPr>
          <w:p w14:paraId="3343B90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74" w:type="pct"/>
            <w:tcBorders>
              <w:top w:val="nil"/>
              <w:left w:val="nil"/>
              <w:bottom w:val="single" w:sz="4" w:space="0" w:color="auto"/>
              <w:right w:val="single" w:sz="4" w:space="0" w:color="auto"/>
            </w:tcBorders>
            <w:shd w:val="clear" w:color="000000" w:fill="F2F2F2"/>
            <w:vAlign w:val="center"/>
          </w:tcPr>
          <w:p w14:paraId="481EB98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74" w:type="pct"/>
            <w:tcBorders>
              <w:top w:val="nil"/>
              <w:left w:val="nil"/>
              <w:bottom w:val="single" w:sz="4" w:space="0" w:color="auto"/>
              <w:right w:val="single" w:sz="4" w:space="0" w:color="auto"/>
            </w:tcBorders>
            <w:shd w:val="clear" w:color="000000" w:fill="F2F2F2"/>
            <w:vAlign w:val="center"/>
          </w:tcPr>
          <w:p w14:paraId="5DC15F4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6" w:type="pct"/>
            <w:tcBorders>
              <w:top w:val="nil"/>
              <w:left w:val="nil"/>
              <w:bottom w:val="single" w:sz="4" w:space="0" w:color="auto"/>
              <w:right w:val="single" w:sz="4" w:space="0" w:color="auto"/>
            </w:tcBorders>
            <w:shd w:val="clear" w:color="000000" w:fill="F2F2F2"/>
            <w:vAlign w:val="center"/>
          </w:tcPr>
          <w:p w14:paraId="5E70960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31" w:type="pct"/>
            <w:tcBorders>
              <w:top w:val="nil"/>
              <w:left w:val="nil"/>
              <w:bottom w:val="single" w:sz="4" w:space="0" w:color="auto"/>
              <w:right w:val="single" w:sz="4" w:space="0" w:color="auto"/>
            </w:tcBorders>
            <w:shd w:val="clear" w:color="000000" w:fill="F2F2F2"/>
            <w:vAlign w:val="center"/>
          </w:tcPr>
          <w:p w14:paraId="2037B08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29" w:type="pct"/>
            <w:tcBorders>
              <w:top w:val="nil"/>
              <w:left w:val="nil"/>
              <w:bottom w:val="single" w:sz="4" w:space="0" w:color="auto"/>
              <w:right w:val="single" w:sz="4" w:space="0" w:color="auto"/>
            </w:tcBorders>
            <w:shd w:val="clear" w:color="000000" w:fill="F2F2F2"/>
            <w:vAlign w:val="center"/>
          </w:tcPr>
          <w:p w14:paraId="137D0BA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66" w:type="pct"/>
            <w:tcBorders>
              <w:top w:val="nil"/>
              <w:left w:val="nil"/>
              <w:bottom w:val="single" w:sz="4" w:space="0" w:color="auto"/>
              <w:right w:val="single" w:sz="4" w:space="0" w:color="auto"/>
            </w:tcBorders>
            <w:shd w:val="clear" w:color="000000" w:fill="F2F2F2"/>
            <w:vAlign w:val="center"/>
          </w:tcPr>
          <w:p w14:paraId="3F34FE3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66" w:type="pct"/>
            <w:tcBorders>
              <w:top w:val="nil"/>
              <w:left w:val="nil"/>
              <w:bottom w:val="single" w:sz="4" w:space="0" w:color="auto"/>
              <w:right w:val="single" w:sz="4" w:space="0" w:color="auto"/>
            </w:tcBorders>
            <w:shd w:val="clear" w:color="000000" w:fill="F2F2F2"/>
            <w:vAlign w:val="center"/>
          </w:tcPr>
          <w:p w14:paraId="6F09DAD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333" w:type="pct"/>
            <w:tcBorders>
              <w:top w:val="nil"/>
              <w:left w:val="nil"/>
              <w:bottom w:val="single" w:sz="4" w:space="0" w:color="auto"/>
              <w:right w:val="single" w:sz="4" w:space="0" w:color="auto"/>
            </w:tcBorders>
            <w:shd w:val="clear" w:color="000000" w:fill="F2F2F2"/>
            <w:vAlign w:val="center"/>
          </w:tcPr>
          <w:p w14:paraId="681E9B1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7" w:type="pct"/>
            <w:tcBorders>
              <w:top w:val="nil"/>
              <w:left w:val="nil"/>
              <w:bottom w:val="single" w:sz="4" w:space="0" w:color="auto"/>
              <w:right w:val="single" w:sz="4" w:space="0" w:color="auto"/>
            </w:tcBorders>
            <w:shd w:val="clear" w:color="000000" w:fill="F2F2F2"/>
            <w:vAlign w:val="center"/>
          </w:tcPr>
          <w:p w14:paraId="79319C5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31" w:type="pct"/>
            <w:tcBorders>
              <w:top w:val="nil"/>
              <w:left w:val="nil"/>
              <w:bottom w:val="single" w:sz="4" w:space="0" w:color="auto"/>
              <w:right w:val="single" w:sz="4" w:space="0" w:color="auto"/>
            </w:tcBorders>
            <w:shd w:val="clear" w:color="000000" w:fill="F2F2F2"/>
            <w:vAlign w:val="center"/>
          </w:tcPr>
          <w:p w14:paraId="7F47E2F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65" w:type="pct"/>
            <w:tcBorders>
              <w:top w:val="nil"/>
              <w:left w:val="nil"/>
              <w:bottom w:val="single" w:sz="4" w:space="0" w:color="auto"/>
              <w:right w:val="single" w:sz="4" w:space="0" w:color="auto"/>
            </w:tcBorders>
            <w:shd w:val="clear" w:color="000000" w:fill="F2F2F2"/>
            <w:vAlign w:val="center"/>
          </w:tcPr>
          <w:p w14:paraId="03DBEA0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90" w:type="pct"/>
            <w:tcBorders>
              <w:top w:val="nil"/>
              <w:left w:val="nil"/>
              <w:bottom w:val="single" w:sz="4" w:space="0" w:color="auto"/>
              <w:right w:val="single" w:sz="4" w:space="0" w:color="auto"/>
            </w:tcBorders>
            <w:shd w:val="clear" w:color="000000" w:fill="F2F2F2"/>
          </w:tcPr>
          <w:p w14:paraId="26AE4B4A" w14:textId="77777777" w:rsidR="00EE4BF0" w:rsidRPr="00E85D55" w:rsidRDefault="00EE4BF0" w:rsidP="007D1DAE">
            <w:pPr>
              <w:spacing w:after="0" w:line="480" w:lineRule="auto"/>
              <w:jc w:val="center"/>
              <w:rPr>
                <w:rFonts w:ascii="Times New Roman" w:hAnsi="Times New Roman"/>
                <w:color w:val="000000"/>
                <w:sz w:val="20"/>
                <w:szCs w:val="20"/>
              </w:rPr>
            </w:pPr>
          </w:p>
        </w:tc>
      </w:tr>
      <w:tr w:rsidR="00EE4BF0" w:rsidRPr="00E85D55" w14:paraId="0BED47C3" w14:textId="77777777" w:rsidTr="007D1DAE">
        <w:trPr>
          <w:trHeight w:val="270"/>
        </w:trPr>
        <w:tc>
          <w:tcPr>
            <w:tcW w:w="106" w:type="pct"/>
            <w:tcBorders>
              <w:top w:val="nil"/>
              <w:left w:val="single" w:sz="4" w:space="0" w:color="auto"/>
              <w:bottom w:val="single" w:sz="4" w:space="0" w:color="auto"/>
              <w:right w:val="single" w:sz="4" w:space="0" w:color="auto"/>
            </w:tcBorders>
            <w:shd w:val="clear" w:color="000000" w:fill="F2F2F2"/>
            <w:noWrap/>
            <w:vAlign w:val="center"/>
          </w:tcPr>
          <w:p w14:paraId="7F205B7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882" w:type="pct"/>
            <w:tcBorders>
              <w:top w:val="nil"/>
              <w:left w:val="nil"/>
              <w:bottom w:val="single" w:sz="4" w:space="0" w:color="auto"/>
              <w:right w:val="single" w:sz="4" w:space="0" w:color="auto"/>
            </w:tcBorders>
            <w:shd w:val="clear" w:color="000000" w:fill="F2F2F2"/>
            <w:noWrap/>
            <w:vAlign w:val="center"/>
          </w:tcPr>
          <w:p w14:paraId="1762E12B"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vertAlign w:val="superscript"/>
                <w:lang w:eastAsia="fr-FR"/>
              </w:rPr>
            </w:pPr>
            <w:r w:rsidRPr="00E85D55">
              <w:rPr>
                <w:rFonts w:ascii="Times New Roman" w:hAnsi="Times New Roman"/>
                <w:b/>
                <w:bCs/>
                <w:color w:val="000000"/>
                <w:sz w:val="20"/>
                <w:szCs w:val="20"/>
              </w:rPr>
              <w:t>Subscale score (0 to 3)</w:t>
            </w:r>
          </w:p>
        </w:tc>
        <w:tc>
          <w:tcPr>
            <w:tcW w:w="182" w:type="pct"/>
            <w:tcBorders>
              <w:top w:val="nil"/>
              <w:left w:val="nil"/>
              <w:bottom w:val="single" w:sz="4" w:space="0" w:color="auto"/>
              <w:right w:val="single" w:sz="4" w:space="0" w:color="auto"/>
            </w:tcBorders>
            <w:shd w:val="clear" w:color="000000" w:fill="F2F2F2"/>
            <w:noWrap/>
            <w:vAlign w:val="center"/>
          </w:tcPr>
          <w:p w14:paraId="4764F3C8"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1</w:t>
            </w:r>
          </w:p>
        </w:tc>
        <w:tc>
          <w:tcPr>
            <w:tcW w:w="194" w:type="pct"/>
            <w:tcBorders>
              <w:top w:val="nil"/>
              <w:left w:val="nil"/>
              <w:bottom w:val="single" w:sz="4" w:space="0" w:color="auto"/>
              <w:right w:val="single" w:sz="4" w:space="0" w:color="auto"/>
            </w:tcBorders>
            <w:shd w:val="clear" w:color="000000" w:fill="F2F2F2"/>
            <w:noWrap/>
            <w:vAlign w:val="center"/>
          </w:tcPr>
          <w:p w14:paraId="06E90C3D"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2</w:t>
            </w:r>
          </w:p>
        </w:tc>
        <w:tc>
          <w:tcPr>
            <w:tcW w:w="194" w:type="pct"/>
            <w:tcBorders>
              <w:top w:val="nil"/>
              <w:left w:val="nil"/>
              <w:bottom w:val="single" w:sz="4" w:space="0" w:color="auto"/>
              <w:right w:val="single" w:sz="4" w:space="0" w:color="auto"/>
            </w:tcBorders>
            <w:shd w:val="clear" w:color="000000" w:fill="F2F2F2"/>
            <w:noWrap/>
            <w:vAlign w:val="center"/>
          </w:tcPr>
          <w:p w14:paraId="358725B3"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1</w:t>
            </w:r>
          </w:p>
        </w:tc>
        <w:tc>
          <w:tcPr>
            <w:tcW w:w="228" w:type="pct"/>
            <w:tcBorders>
              <w:top w:val="nil"/>
              <w:left w:val="nil"/>
              <w:bottom w:val="single" w:sz="4" w:space="0" w:color="auto"/>
              <w:right w:val="single" w:sz="4" w:space="0" w:color="auto"/>
            </w:tcBorders>
            <w:shd w:val="clear" w:color="000000" w:fill="F2F2F2"/>
            <w:noWrap/>
            <w:vAlign w:val="center"/>
          </w:tcPr>
          <w:p w14:paraId="1CBE1DF2"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1</w:t>
            </w:r>
          </w:p>
        </w:tc>
        <w:tc>
          <w:tcPr>
            <w:tcW w:w="174" w:type="pct"/>
            <w:tcBorders>
              <w:top w:val="nil"/>
              <w:left w:val="nil"/>
              <w:bottom w:val="single" w:sz="4" w:space="0" w:color="auto"/>
              <w:right w:val="single" w:sz="4" w:space="0" w:color="auto"/>
            </w:tcBorders>
            <w:shd w:val="clear" w:color="000000" w:fill="F2F2F2"/>
            <w:noWrap/>
            <w:vAlign w:val="center"/>
          </w:tcPr>
          <w:p w14:paraId="448F7F31"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1</w:t>
            </w:r>
          </w:p>
        </w:tc>
        <w:tc>
          <w:tcPr>
            <w:tcW w:w="192" w:type="pct"/>
            <w:tcBorders>
              <w:top w:val="nil"/>
              <w:left w:val="nil"/>
              <w:bottom w:val="single" w:sz="4" w:space="0" w:color="auto"/>
              <w:right w:val="single" w:sz="4" w:space="0" w:color="auto"/>
            </w:tcBorders>
            <w:shd w:val="clear" w:color="000000" w:fill="F2F2F2"/>
            <w:noWrap/>
            <w:vAlign w:val="center"/>
          </w:tcPr>
          <w:p w14:paraId="500F5012"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0</w:t>
            </w:r>
          </w:p>
        </w:tc>
        <w:tc>
          <w:tcPr>
            <w:tcW w:w="174" w:type="pct"/>
            <w:tcBorders>
              <w:top w:val="nil"/>
              <w:left w:val="nil"/>
              <w:bottom w:val="single" w:sz="4" w:space="0" w:color="auto"/>
              <w:right w:val="single" w:sz="4" w:space="0" w:color="auto"/>
            </w:tcBorders>
            <w:shd w:val="clear" w:color="000000" w:fill="F2F2F2"/>
            <w:noWrap/>
            <w:vAlign w:val="center"/>
          </w:tcPr>
          <w:p w14:paraId="767F9123"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1</w:t>
            </w:r>
          </w:p>
        </w:tc>
        <w:tc>
          <w:tcPr>
            <w:tcW w:w="174" w:type="pct"/>
            <w:tcBorders>
              <w:top w:val="nil"/>
              <w:left w:val="nil"/>
              <w:bottom w:val="single" w:sz="4" w:space="0" w:color="auto"/>
              <w:right w:val="single" w:sz="4" w:space="0" w:color="auto"/>
            </w:tcBorders>
            <w:shd w:val="clear" w:color="000000" w:fill="F2F2F2"/>
            <w:noWrap/>
            <w:vAlign w:val="center"/>
          </w:tcPr>
          <w:p w14:paraId="16EFDA50"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0</w:t>
            </w:r>
          </w:p>
        </w:tc>
        <w:tc>
          <w:tcPr>
            <w:tcW w:w="196" w:type="pct"/>
            <w:tcBorders>
              <w:top w:val="nil"/>
              <w:left w:val="nil"/>
              <w:bottom w:val="single" w:sz="4" w:space="0" w:color="auto"/>
              <w:right w:val="single" w:sz="4" w:space="0" w:color="auto"/>
            </w:tcBorders>
            <w:shd w:val="clear" w:color="000000" w:fill="F2F2F2"/>
            <w:noWrap/>
            <w:vAlign w:val="center"/>
          </w:tcPr>
          <w:p w14:paraId="0A96E670"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2</w:t>
            </w:r>
          </w:p>
        </w:tc>
        <w:tc>
          <w:tcPr>
            <w:tcW w:w="231" w:type="pct"/>
            <w:tcBorders>
              <w:top w:val="nil"/>
              <w:left w:val="nil"/>
              <w:bottom w:val="single" w:sz="4" w:space="0" w:color="auto"/>
              <w:right w:val="single" w:sz="4" w:space="0" w:color="auto"/>
            </w:tcBorders>
            <w:shd w:val="clear" w:color="000000" w:fill="F2F2F2"/>
            <w:noWrap/>
            <w:vAlign w:val="center"/>
          </w:tcPr>
          <w:p w14:paraId="5A131314"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1</w:t>
            </w:r>
          </w:p>
        </w:tc>
        <w:tc>
          <w:tcPr>
            <w:tcW w:w="229" w:type="pct"/>
            <w:tcBorders>
              <w:top w:val="nil"/>
              <w:left w:val="nil"/>
              <w:bottom w:val="single" w:sz="4" w:space="0" w:color="auto"/>
              <w:right w:val="single" w:sz="4" w:space="0" w:color="auto"/>
            </w:tcBorders>
            <w:shd w:val="clear" w:color="000000" w:fill="F2F2F2"/>
            <w:noWrap/>
            <w:vAlign w:val="center"/>
          </w:tcPr>
          <w:p w14:paraId="28CFCF8B"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1</w:t>
            </w:r>
          </w:p>
        </w:tc>
        <w:tc>
          <w:tcPr>
            <w:tcW w:w="266" w:type="pct"/>
            <w:tcBorders>
              <w:top w:val="nil"/>
              <w:left w:val="nil"/>
              <w:bottom w:val="single" w:sz="4" w:space="0" w:color="auto"/>
              <w:right w:val="single" w:sz="4" w:space="0" w:color="auto"/>
            </w:tcBorders>
            <w:shd w:val="clear" w:color="000000" w:fill="F2F2F2"/>
            <w:noWrap/>
            <w:vAlign w:val="center"/>
          </w:tcPr>
          <w:p w14:paraId="4759C2D7"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1</w:t>
            </w:r>
          </w:p>
        </w:tc>
        <w:tc>
          <w:tcPr>
            <w:tcW w:w="266" w:type="pct"/>
            <w:tcBorders>
              <w:top w:val="nil"/>
              <w:left w:val="nil"/>
              <w:bottom w:val="single" w:sz="4" w:space="0" w:color="auto"/>
              <w:right w:val="single" w:sz="4" w:space="0" w:color="auto"/>
            </w:tcBorders>
            <w:shd w:val="clear" w:color="000000" w:fill="F2F2F2"/>
            <w:noWrap/>
            <w:vAlign w:val="center"/>
          </w:tcPr>
          <w:p w14:paraId="5994868C"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1</w:t>
            </w:r>
          </w:p>
        </w:tc>
        <w:tc>
          <w:tcPr>
            <w:tcW w:w="333" w:type="pct"/>
            <w:tcBorders>
              <w:top w:val="nil"/>
              <w:left w:val="nil"/>
              <w:bottom w:val="single" w:sz="4" w:space="0" w:color="auto"/>
              <w:right w:val="single" w:sz="4" w:space="0" w:color="auto"/>
            </w:tcBorders>
            <w:shd w:val="clear" w:color="000000" w:fill="F2F2F2"/>
            <w:noWrap/>
            <w:vAlign w:val="center"/>
          </w:tcPr>
          <w:p w14:paraId="31FA9DE6"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1</w:t>
            </w:r>
          </w:p>
        </w:tc>
        <w:tc>
          <w:tcPr>
            <w:tcW w:w="197" w:type="pct"/>
            <w:tcBorders>
              <w:top w:val="nil"/>
              <w:left w:val="nil"/>
              <w:bottom w:val="single" w:sz="4" w:space="0" w:color="auto"/>
              <w:right w:val="single" w:sz="4" w:space="0" w:color="auto"/>
            </w:tcBorders>
            <w:shd w:val="clear" w:color="000000" w:fill="F2F2F2"/>
            <w:noWrap/>
            <w:vAlign w:val="center"/>
          </w:tcPr>
          <w:p w14:paraId="76884FC0"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1</w:t>
            </w:r>
          </w:p>
        </w:tc>
        <w:tc>
          <w:tcPr>
            <w:tcW w:w="231" w:type="pct"/>
            <w:tcBorders>
              <w:top w:val="nil"/>
              <w:left w:val="nil"/>
              <w:bottom w:val="single" w:sz="4" w:space="0" w:color="auto"/>
              <w:right w:val="single" w:sz="4" w:space="0" w:color="auto"/>
            </w:tcBorders>
            <w:shd w:val="clear" w:color="000000" w:fill="F2F2F2"/>
            <w:noWrap/>
            <w:vAlign w:val="center"/>
          </w:tcPr>
          <w:p w14:paraId="666878B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0</w:t>
            </w:r>
          </w:p>
        </w:tc>
        <w:tc>
          <w:tcPr>
            <w:tcW w:w="265" w:type="pct"/>
            <w:tcBorders>
              <w:top w:val="nil"/>
              <w:left w:val="nil"/>
              <w:bottom w:val="single" w:sz="4" w:space="0" w:color="auto"/>
              <w:right w:val="single" w:sz="4" w:space="0" w:color="auto"/>
            </w:tcBorders>
            <w:shd w:val="clear" w:color="000000" w:fill="F2F2F2"/>
            <w:noWrap/>
            <w:vAlign w:val="center"/>
          </w:tcPr>
          <w:p w14:paraId="50EC5AB3"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0</w:t>
            </w:r>
          </w:p>
        </w:tc>
        <w:tc>
          <w:tcPr>
            <w:tcW w:w="290" w:type="pct"/>
            <w:tcBorders>
              <w:top w:val="nil"/>
              <w:left w:val="nil"/>
              <w:bottom w:val="single" w:sz="4" w:space="0" w:color="auto"/>
              <w:right w:val="single" w:sz="4" w:space="0" w:color="auto"/>
            </w:tcBorders>
            <w:shd w:val="clear" w:color="000000" w:fill="F2F2F2"/>
          </w:tcPr>
          <w:p w14:paraId="16606AC8" w14:textId="77777777" w:rsidR="00EE4BF0" w:rsidRPr="00E85D55" w:rsidRDefault="00EE4BF0" w:rsidP="007D1DAE">
            <w:pPr>
              <w:spacing w:after="0" w:line="480" w:lineRule="auto"/>
              <w:jc w:val="center"/>
              <w:rPr>
                <w:rFonts w:ascii="Times New Roman" w:hAnsi="Times New Roman"/>
                <w:b/>
                <w:bCs/>
                <w:color w:val="000000"/>
                <w:sz w:val="20"/>
                <w:szCs w:val="20"/>
              </w:rPr>
            </w:pPr>
            <w:r w:rsidRPr="00E85D55">
              <w:rPr>
                <w:rFonts w:ascii="Times New Roman" w:hAnsi="Times New Roman"/>
                <w:b/>
                <w:bCs/>
                <w:color w:val="000000"/>
                <w:sz w:val="20"/>
                <w:szCs w:val="20"/>
              </w:rPr>
              <w:t>Average score : 0,9</w:t>
            </w:r>
          </w:p>
        </w:tc>
      </w:tr>
      <w:tr w:rsidR="00EE4BF0" w:rsidRPr="00E85D55" w14:paraId="69CF8F36" w14:textId="77777777" w:rsidTr="007D1DAE">
        <w:trPr>
          <w:trHeight w:val="540"/>
        </w:trPr>
        <w:tc>
          <w:tcPr>
            <w:tcW w:w="106" w:type="pct"/>
            <w:tcBorders>
              <w:top w:val="nil"/>
              <w:left w:val="single" w:sz="4" w:space="0" w:color="auto"/>
              <w:bottom w:val="single" w:sz="4" w:space="0" w:color="auto"/>
              <w:right w:val="single" w:sz="4" w:space="0" w:color="auto"/>
            </w:tcBorders>
            <w:shd w:val="clear" w:color="000000" w:fill="FFFFFF"/>
            <w:noWrap/>
            <w:vAlign w:val="center"/>
          </w:tcPr>
          <w:p w14:paraId="28E6B3C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882" w:type="pct"/>
            <w:tcBorders>
              <w:top w:val="nil"/>
              <w:left w:val="nil"/>
              <w:bottom w:val="single" w:sz="4" w:space="0" w:color="auto"/>
              <w:right w:val="single" w:sz="4" w:space="0" w:color="auto"/>
            </w:tcBorders>
            <w:shd w:val="clear" w:color="000000" w:fill="FFFFFF"/>
            <w:vAlign w:val="center"/>
          </w:tcPr>
          <w:p w14:paraId="358C562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Was there a thorough assessment of potential measured and unmeasured confounders?</w:t>
            </w:r>
          </w:p>
        </w:tc>
        <w:tc>
          <w:tcPr>
            <w:tcW w:w="182" w:type="pct"/>
            <w:tcBorders>
              <w:top w:val="nil"/>
              <w:left w:val="nil"/>
              <w:bottom w:val="single" w:sz="4" w:space="0" w:color="auto"/>
              <w:right w:val="single" w:sz="4" w:space="0" w:color="auto"/>
            </w:tcBorders>
            <w:shd w:val="clear" w:color="000000" w:fill="FFFFFF"/>
            <w:noWrap/>
            <w:vAlign w:val="center"/>
          </w:tcPr>
          <w:p w14:paraId="63D2D79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tcPr>
          <w:p w14:paraId="2AA65EA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tcPr>
          <w:p w14:paraId="4B8A047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8" w:type="pct"/>
            <w:tcBorders>
              <w:top w:val="nil"/>
              <w:left w:val="nil"/>
              <w:bottom w:val="single" w:sz="4" w:space="0" w:color="auto"/>
              <w:right w:val="single" w:sz="4" w:space="0" w:color="auto"/>
            </w:tcBorders>
            <w:shd w:val="clear" w:color="000000" w:fill="FFFFFF"/>
            <w:noWrap/>
            <w:vAlign w:val="center"/>
          </w:tcPr>
          <w:p w14:paraId="08DADE6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tcPr>
          <w:p w14:paraId="4F9277E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tcPr>
          <w:p w14:paraId="410E76A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74" w:type="pct"/>
            <w:tcBorders>
              <w:top w:val="nil"/>
              <w:left w:val="nil"/>
              <w:bottom w:val="single" w:sz="4" w:space="0" w:color="auto"/>
              <w:right w:val="single" w:sz="4" w:space="0" w:color="auto"/>
            </w:tcBorders>
            <w:shd w:val="clear" w:color="000000" w:fill="FFFFFF"/>
            <w:noWrap/>
            <w:vAlign w:val="center"/>
          </w:tcPr>
          <w:p w14:paraId="62EB35D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tcPr>
          <w:p w14:paraId="747E64E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6" w:type="pct"/>
            <w:tcBorders>
              <w:top w:val="nil"/>
              <w:left w:val="nil"/>
              <w:bottom w:val="single" w:sz="4" w:space="0" w:color="auto"/>
              <w:right w:val="single" w:sz="4" w:space="0" w:color="auto"/>
            </w:tcBorders>
            <w:shd w:val="clear" w:color="000000" w:fill="FFFFFF"/>
            <w:noWrap/>
            <w:vAlign w:val="center"/>
          </w:tcPr>
          <w:p w14:paraId="2FF106C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tcPr>
          <w:p w14:paraId="4C9D974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tcPr>
          <w:p w14:paraId="54C20F6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tcPr>
          <w:p w14:paraId="33D4F51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tcPr>
          <w:p w14:paraId="0BCB996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33" w:type="pct"/>
            <w:tcBorders>
              <w:top w:val="nil"/>
              <w:left w:val="nil"/>
              <w:bottom w:val="single" w:sz="4" w:space="0" w:color="auto"/>
              <w:right w:val="single" w:sz="4" w:space="0" w:color="auto"/>
            </w:tcBorders>
            <w:shd w:val="clear" w:color="000000" w:fill="FFFFFF"/>
            <w:noWrap/>
            <w:vAlign w:val="center"/>
          </w:tcPr>
          <w:p w14:paraId="1CC8A55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7" w:type="pct"/>
            <w:tcBorders>
              <w:top w:val="nil"/>
              <w:left w:val="nil"/>
              <w:bottom w:val="single" w:sz="4" w:space="0" w:color="auto"/>
              <w:right w:val="single" w:sz="4" w:space="0" w:color="auto"/>
            </w:tcBorders>
            <w:shd w:val="clear" w:color="000000" w:fill="FFFFFF"/>
            <w:noWrap/>
            <w:vAlign w:val="center"/>
          </w:tcPr>
          <w:p w14:paraId="587ABDE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tcPr>
          <w:p w14:paraId="77D56BC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65" w:type="pct"/>
            <w:tcBorders>
              <w:top w:val="nil"/>
              <w:left w:val="nil"/>
              <w:bottom w:val="single" w:sz="4" w:space="0" w:color="auto"/>
              <w:right w:val="single" w:sz="4" w:space="0" w:color="auto"/>
            </w:tcBorders>
            <w:shd w:val="clear" w:color="000000" w:fill="FFFFFF"/>
            <w:noWrap/>
            <w:vAlign w:val="center"/>
          </w:tcPr>
          <w:p w14:paraId="519508C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90" w:type="pct"/>
            <w:tcBorders>
              <w:top w:val="nil"/>
              <w:left w:val="nil"/>
              <w:bottom w:val="single" w:sz="4" w:space="0" w:color="auto"/>
              <w:right w:val="single" w:sz="4" w:space="0" w:color="auto"/>
            </w:tcBorders>
            <w:shd w:val="clear" w:color="000000" w:fill="FFFFFF"/>
          </w:tcPr>
          <w:p w14:paraId="5D7EF024"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13</w:t>
            </w:r>
          </w:p>
        </w:tc>
      </w:tr>
      <w:tr w:rsidR="00EE4BF0" w:rsidRPr="00E85D55" w14:paraId="12457CD7" w14:textId="77777777" w:rsidTr="007D1DAE">
        <w:trPr>
          <w:trHeight w:val="1351"/>
        </w:trPr>
        <w:tc>
          <w:tcPr>
            <w:tcW w:w="106" w:type="pct"/>
            <w:tcBorders>
              <w:top w:val="nil"/>
              <w:left w:val="single" w:sz="4" w:space="0" w:color="auto"/>
              <w:bottom w:val="single" w:sz="4" w:space="0" w:color="auto"/>
              <w:right w:val="single" w:sz="4" w:space="0" w:color="auto"/>
            </w:tcBorders>
            <w:shd w:val="clear" w:color="000000" w:fill="FFFFFF"/>
            <w:noWrap/>
            <w:vAlign w:val="center"/>
          </w:tcPr>
          <w:p w14:paraId="5AB5E74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2</w:t>
            </w:r>
          </w:p>
        </w:tc>
        <w:tc>
          <w:tcPr>
            <w:tcW w:w="882" w:type="pct"/>
            <w:tcBorders>
              <w:top w:val="nil"/>
              <w:left w:val="nil"/>
              <w:bottom w:val="single" w:sz="4" w:space="0" w:color="auto"/>
              <w:right w:val="single" w:sz="4" w:space="0" w:color="auto"/>
            </w:tcBorders>
            <w:shd w:val="clear" w:color="000000" w:fill="FFFFFF"/>
            <w:vAlign w:val="center"/>
          </w:tcPr>
          <w:p w14:paraId="0F77694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Were analyses of subgroups or interaction effects reported for comparison groups?</w:t>
            </w:r>
          </w:p>
        </w:tc>
        <w:tc>
          <w:tcPr>
            <w:tcW w:w="182" w:type="pct"/>
            <w:tcBorders>
              <w:top w:val="nil"/>
              <w:left w:val="nil"/>
              <w:bottom w:val="single" w:sz="4" w:space="0" w:color="auto"/>
              <w:right w:val="single" w:sz="4" w:space="0" w:color="auto"/>
            </w:tcBorders>
            <w:shd w:val="clear" w:color="000000" w:fill="FFFFFF"/>
            <w:noWrap/>
            <w:vAlign w:val="center"/>
          </w:tcPr>
          <w:p w14:paraId="730E059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4" w:type="pct"/>
            <w:tcBorders>
              <w:top w:val="nil"/>
              <w:left w:val="nil"/>
              <w:bottom w:val="single" w:sz="4" w:space="0" w:color="auto"/>
              <w:right w:val="single" w:sz="4" w:space="0" w:color="auto"/>
            </w:tcBorders>
            <w:shd w:val="clear" w:color="000000" w:fill="FFFFFF"/>
            <w:noWrap/>
            <w:vAlign w:val="center"/>
          </w:tcPr>
          <w:p w14:paraId="7BF9019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tcPr>
          <w:p w14:paraId="1ABEDD6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28" w:type="pct"/>
            <w:tcBorders>
              <w:top w:val="nil"/>
              <w:left w:val="nil"/>
              <w:bottom w:val="single" w:sz="4" w:space="0" w:color="auto"/>
              <w:right w:val="single" w:sz="4" w:space="0" w:color="auto"/>
            </w:tcBorders>
            <w:shd w:val="clear" w:color="000000" w:fill="FFFFFF"/>
            <w:noWrap/>
            <w:vAlign w:val="center"/>
          </w:tcPr>
          <w:p w14:paraId="27400F9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74" w:type="pct"/>
            <w:tcBorders>
              <w:top w:val="nil"/>
              <w:left w:val="nil"/>
              <w:bottom w:val="single" w:sz="4" w:space="0" w:color="auto"/>
              <w:right w:val="single" w:sz="4" w:space="0" w:color="auto"/>
            </w:tcBorders>
            <w:shd w:val="clear" w:color="000000" w:fill="FFFFFF"/>
            <w:noWrap/>
            <w:vAlign w:val="center"/>
          </w:tcPr>
          <w:p w14:paraId="5FA2A13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2" w:type="pct"/>
            <w:tcBorders>
              <w:top w:val="nil"/>
              <w:left w:val="nil"/>
              <w:bottom w:val="single" w:sz="4" w:space="0" w:color="auto"/>
              <w:right w:val="single" w:sz="4" w:space="0" w:color="auto"/>
            </w:tcBorders>
            <w:shd w:val="clear" w:color="000000" w:fill="FFFFFF"/>
            <w:noWrap/>
            <w:vAlign w:val="center"/>
          </w:tcPr>
          <w:p w14:paraId="7D0EBB6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74" w:type="pct"/>
            <w:tcBorders>
              <w:top w:val="nil"/>
              <w:left w:val="nil"/>
              <w:bottom w:val="single" w:sz="4" w:space="0" w:color="auto"/>
              <w:right w:val="single" w:sz="4" w:space="0" w:color="auto"/>
            </w:tcBorders>
            <w:shd w:val="clear" w:color="000000" w:fill="FFFFFF"/>
            <w:noWrap/>
            <w:vAlign w:val="center"/>
          </w:tcPr>
          <w:p w14:paraId="3937454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74" w:type="pct"/>
            <w:tcBorders>
              <w:top w:val="nil"/>
              <w:left w:val="nil"/>
              <w:bottom w:val="single" w:sz="4" w:space="0" w:color="auto"/>
              <w:right w:val="single" w:sz="4" w:space="0" w:color="auto"/>
            </w:tcBorders>
            <w:shd w:val="clear" w:color="000000" w:fill="FFFFFF"/>
            <w:noWrap/>
            <w:vAlign w:val="center"/>
          </w:tcPr>
          <w:p w14:paraId="1869110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6" w:type="pct"/>
            <w:tcBorders>
              <w:top w:val="nil"/>
              <w:left w:val="nil"/>
              <w:bottom w:val="single" w:sz="4" w:space="0" w:color="auto"/>
              <w:right w:val="single" w:sz="4" w:space="0" w:color="auto"/>
            </w:tcBorders>
            <w:shd w:val="clear" w:color="000000" w:fill="FFFFFF"/>
            <w:noWrap/>
            <w:vAlign w:val="center"/>
          </w:tcPr>
          <w:p w14:paraId="11C0074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31" w:type="pct"/>
            <w:tcBorders>
              <w:top w:val="nil"/>
              <w:left w:val="nil"/>
              <w:bottom w:val="single" w:sz="4" w:space="0" w:color="auto"/>
              <w:right w:val="single" w:sz="4" w:space="0" w:color="auto"/>
            </w:tcBorders>
            <w:shd w:val="clear" w:color="000000" w:fill="FFFFFF"/>
            <w:noWrap/>
            <w:vAlign w:val="center"/>
          </w:tcPr>
          <w:p w14:paraId="0EE3E35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29" w:type="pct"/>
            <w:tcBorders>
              <w:top w:val="nil"/>
              <w:left w:val="nil"/>
              <w:bottom w:val="single" w:sz="4" w:space="0" w:color="auto"/>
              <w:right w:val="single" w:sz="4" w:space="0" w:color="auto"/>
            </w:tcBorders>
            <w:shd w:val="clear" w:color="000000" w:fill="FFFFFF"/>
            <w:noWrap/>
            <w:vAlign w:val="center"/>
          </w:tcPr>
          <w:p w14:paraId="579480E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66" w:type="pct"/>
            <w:tcBorders>
              <w:top w:val="nil"/>
              <w:left w:val="nil"/>
              <w:bottom w:val="single" w:sz="4" w:space="0" w:color="auto"/>
              <w:right w:val="single" w:sz="4" w:space="0" w:color="auto"/>
            </w:tcBorders>
            <w:shd w:val="clear" w:color="000000" w:fill="FFFFFF"/>
            <w:noWrap/>
            <w:vAlign w:val="center"/>
          </w:tcPr>
          <w:p w14:paraId="7722F08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66" w:type="pct"/>
            <w:tcBorders>
              <w:top w:val="nil"/>
              <w:left w:val="nil"/>
              <w:bottom w:val="single" w:sz="4" w:space="0" w:color="auto"/>
              <w:right w:val="single" w:sz="4" w:space="0" w:color="auto"/>
            </w:tcBorders>
            <w:shd w:val="clear" w:color="000000" w:fill="FFFFFF"/>
            <w:noWrap/>
            <w:vAlign w:val="center"/>
          </w:tcPr>
          <w:p w14:paraId="1271F1C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333" w:type="pct"/>
            <w:tcBorders>
              <w:top w:val="nil"/>
              <w:left w:val="nil"/>
              <w:bottom w:val="single" w:sz="4" w:space="0" w:color="auto"/>
              <w:right w:val="single" w:sz="4" w:space="0" w:color="auto"/>
            </w:tcBorders>
            <w:shd w:val="clear" w:color="000000" w:fill="FFFFFF"/>
            <w:noWrap/>
            <w:vAlign w:val="center"/>
          </w:tcPr>
          <w:p w14:paraId="3855935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7" w:type="pct"/>
            <w:tcBorders>
              <w:top w:val="nil"/>
              <w:left w:val="nil"/>
              <w:bottom w:val="single" w:sz="4" w:space="0" w:color="auto"/>
              <w:right w:val="single" w:sz="4" w:space="0" w:color="auto"/>
            </w:tcBorders>
            <w:shd w:val="clear" w:color="000000" w:fill="FFFFFF"/>
            <w:noWrap/>
            <w:vAlign w:val="center"/>
          </w:tcPr>
          <w:p w14:paraId="4602835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31" w:type="pct"/>
            <w:tcBorders>
              <w:top w:val="nil"/>
              <w:left w:val="nil"/>
              <w:bottom w:val="single" w:sz="4" w:space="0" w:color="auto"/>
              <w:right w:val="single" w:sz="4" w:space="0" w:color="auto"/>
            </w:tcBorders>
            <w:shd w:val="clear" w:color="000000" w:fill="FFFFFF"/>
            <w:noWrap/>
            <w:vAlign w:val="center"/>
          </w:tcPr>
          <w:p w14:paraId="697486E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65" w:type="pct"/>
            <w:tcBorders>
              <w:top w:val="nil"/>
              <w:left w:val="nil"/>
              <w:bottom w:val="single" w:sz="4" w:space="0" w:color="auto"/>
              <w:right w:val="single" w:sz="4" w:space="0" w:color="auto"/>
            </w:tcBorders>
            <w:shd w:val="clear" w:color="000000" w:fill="FFFFFF"/>
            <w:noWrap/>
            <w:vAlign w:val="center"/>
          </w:tcPr>
          <w:p w14:paraId="36691D6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90" w:type="pct"/>
            <w:tcBorders>
              <w:top w:val="nil"/>
              <w:left w:val="nil"/>
              <w:bottom w:val="single" w:sz="4" w:space="0" w:color="auto"/>
              <w:right w:val="single" w:sz="4" w:space="0" w:color="auto"/>
            </w:tcBorders>
            <w:shd w:val="clear" w:color="000000" w:fill="FFFFFF"/>
          </w:tcPr>
          <w:p w14:paraId="799989B9"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w:t>
            </w:r>
          </w:p>
        </w:tc>
      </w:tr>
      <w:tr w:rsidR="00EE4BF0" w:rsidRPr="00E85D55" w14:paraId="753F8FBD" w14:textId="77777777" w:rsidTr="007D1DAE">
        <w:trPr>
          <w:trHeight w:val="1081"/>
        </w:trPr>
        <w:tc>
          <w:tcPr>
            <w:tcW w:w="106" w:type="pct"/>
            <w:tcBorders>
              <w:top w:val="nil"/>
              <w:left w:val="single" w:sz="4" w:space="0" w:color="auto"/>
              <w:bottom w:val="single" w:sz="4" w:space="0" w:color="auto"/>
              <w:right w:val="single" w:sz="4" w:space="0" w:color="auto"/>
            </w:tcBorders>
            <w:shd w:val="clear" w:color="000000" w:fill="FFFFFF"/>
            <w:noWrap/>
            <w:vAlign w:val="center"/>
          </w:tcPr>
          <w:p w14:paraId="0ED2F6A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lastRenderedPageBreak/>
              <w:t>3</w:t>
            </w:r>
          </w:p>
        </w:tc>
        <w:tc>
          <w:tcPr>
            <w:tcW w:w="882" w:type="pct"/>
            <w:tcBorders>
              <w:top w:val="nil"/>
              <w:left w:val="nil"/>
              <w:bottom w:val="single" w:sz="4" w:space="0" w:color="auto"/>
              <w:right w:val="single" w:sz="4" w:space="0" w:color="auto"/>
            </w:tcBorders>
            <w:shd w:val="clear" w:color="000000" w:fill="FFFFFF"/>
            <w:vAlign w:val="center"/>
          </w:tcPr>
          <w:p w14:paraId="4E4E625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Were sensitivity analyses performed to assess the effect of key assumptions or definitions on outcomes?</w:t>
            </w:r>
          </w:p>
        </w:tc>
        <w:tc>
          <w:tcPr>
            <w:tcW w:w="182" w:type="pct"/>
            <w:tcBorders>
              <w:top w:val="nil"/>
              <w:left w:val="nil"/>
              <w:bottom w:val="single" w:sz="4" w:space="0" w:color="auto"/>
              <w:right w:val="single" w:sz="4" w:space="0" w:color="auto"/>
            </w:tcBorders>
            <w:shd w:val="clear" w:color="000000" w:fill="FFFFFF"/>
            <w:noWrap/>
            <w:vAlign w:val="center"/>
          </w:tcPr>
          <w:p w14:paraId="301FFB2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4" w:type="pct"/>
            <w:tcBorders>
              <w:top w:val="nil"/>
              <w:left w:val="nil"/>
              <w:bottom w:val="single" w:sz="4" w:space="0" w:color="auto"/>
              <w:right w:val="single" w:sz="4" w:space="0" w:color="auto"/>
            </w:tcBorders>
            <w:shd w:val="clear" w:color="000000" w:fill="FFFFFF"/>
            <w:noWrap/>
            <w:vAlign w:val="center"/>
          </w:tcPr>
          <w:p w14:paraId="55F3B71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4" w:type="pct"/>
            <w:tcBorders>
              <w:top w:val="nil"/>
              <w:left w:val="nil"/>
              <w:bottom w:val="single" w:sz="4" w:space="0" w:color="auto"/>
              <w:right w:val="single" w:sz="4" w:space="0" w:color="auto"/>
            </w:tcBorders>
            <w:shd w:val="clear" w:color="000000" w:fill="FFFFFF"/>
            <w:noWrap/>
            <w:vAlign w:val="center"/>
          </w:tcPr>
          <w:p w14:paraId="01C349E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28" w:type="pct"/>
            <w:tcBorders>
              <w:top w:val="nil"/>
              <w:left w:val="nil"/>
              <w:bottom w:val="single" w:sz="4" w:space="0" w:color="auto"/>
              <w:right w:val="single" w:sz="4" w:space="0" w:color="auto"/>
            </w:tcBorders>
            <w:shd w:val="clear" w:color="000000" w:fill="FFFFFF"/>
            <w:noWrap/>
            <w:vAlign w:val="center"/>
          </w:tcPr>
          <w:p w14:paraId="3BF7731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74" w:type="pct"/>
            <w:tcBorders>
              <w:top w:val="nil"/>
              <w:left w:val="nil"/>
              <w:bottom w:val="single" w:sz="4" w:space="0" w:color="auto"/>
              <w:right w:val="single" w:sz="4" w:space="0" w:color="auto"/>
            </w:tcBorders>
            <w:shd w:val="clear" w:color="000000" w:fill="FFFFFF"/>
            <w:noWrap/>
            <w:vAlign w:val="center"/>
          </w:tcPr>
          <w:p w14:paraId="1F0643F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2" w:type="pct"/>
            <w:tcBorders>
              <w:top w:val="nil"/>
              <w:left w:val="nil"/>
              <w:bottom w:val="single" w:sz="4" w:space="0" w:color="auto"/>
              <w:right w:val="single" w:sz="4" w:space="0" w:color="auto"/>
            </w:tcBorders>
            <w:shd w:val="clear" w:color="000000" w:fill="FFFFFF"/>
            <w:noWrap/>
            <w:vAlign w:val="center"/>
          </w:tcPr>
          <w:p w14:paraId="4E69738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74" w:type="pct"/>
            <w:tcBorders>
              <w:top w:val="nil"/>
              <w:left w:val="nil"/>
              <w:bottom w:val="single" w:sz="4" w:space="0" w:color="auto"/>
              <w:right w:val="single" w:sz="4" w:space="0" w:color="auto"/>
            </w:tcBorders>
            <w:shd w:val="clear" w:color="000000" w:fill="FFFFFF"/>
            <w:noWrap/>
            <w:vAlign w:val="center"/>
          </w:tcPr>
          <w:p w14:paraId="3E82E3D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74" w:type="pct"/>
            <w:tcBorders>
              <w:top w:val="nil"/>
              <w:left w:val="nil"/>
              <w:bottom w:val="single" w:sz="4" w:space="0" w:color="auto"/>
              <w:right w:val="single" w:sz="4" w:space="0" w:color="auto"/>
            </w:tcBorders>
            <w:shd w:val="clear" w:color="000000" w:fill="FFFFFF"/>
            <w:noWrap/>
            <w:vAlign w:val="center"/>
          </w:tcPr>
          <w:p w14:paraId="3E6C172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6" w:type="pct"/>
            <w:tcBorders>
              <w:top w:val="nil"/>
              <w:left w:val="nil"/>
              <w:bottom w:val="single" w:sz="4" w:space="0" w:color="auto"/>
              <w:right w:val="single" w:sz="4" w:space="0" w:color="auto"/>
            </w:tcBorders>
            <w:shd w:val="clear" w:color="000000" w:fill="FFFFFF"/>
            <w:noWrap/>
            <w:vAlign w:val="center"/>
          </w:tcPr>
          <w:p w14:paraId="53C1482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tcPr>
          <w:p w14:paraId="38F8D15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29" w:type="pct"/>
            <w:tcBorders>
              <w:top w:val="nil"/>
              <w:left w:val="nil"/>
              <w:bottom w:val="single" w:sz="4" w:space="0" w:color="auto"/>
              <w:right w:val="single" w:sz="4" w:space="0" w:color="auto"/>
            </w:tcBorders>
            <w:shd w:val="clear" w:color="000000" w:fill="FFFFFF"/>
            <w:noWrap/>
            <w:vAlign w:val="center"/>
          </w:tcPr>
          <w:p w14:paraId="3C84992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66" w:type="pct"/>
            <w:tcBorders>
              <w:top w:val="nil"/>
              <w:left w:val="nil"/>
              <w:bottom w:val="single" w:sz="4" w:space="0" w:color="auto"/>
              <w:right w:val="single" w:sz="4" w:space="0" w:color="auto"/>
            </w:tcBorders>
            <w:shd w:val="clear" w:color="000000" w:fill="FFFFFF"/>
            <w:noWrap/>
            <w:vAlign w:val="center"/>
          </w:tcPr>
          <w:p w14:paraId="45F53C9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66" w:type="pct"/>
            <w:tcBorders>
              <w:top w:val="nil"/>
              <w:left w:val="nil"/>
              <w:bottom w:val="single" w:sz="4" w:space="0" w:color="auto"/>
              <w:right w:val="single" w:sz="4" w:space="0" w:color="auto"/>
            </w:tcBorders>
            <w:shd w:val="clear" w:color="000000" w:fill="FFFFFF"/>
            <w:noWrap/>
            <w:vAlign w:val="center"/>
          </w:tcPr>
          <w:p w14:paraId="6C23817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333" w:type="pct"/>
            <w:tcBorders>
              <w:top w:val="nil"/>
              <w:left w:val="nil"/>
              <w:bottom w:val="single" w:sz="4" w:space="0" w:color="auto"/>
              <w:right w:val="single" w:sz="4" w:space="0" w:color="auto"/>
            </w:tcBorders>
            <w:shd w:val="clear" w:color="000000" w:fill="FFFFFF"/>
            <w:noWrap/>
            <w:vAlign w:val="center"/>
          </w:tcPr>
          <w:p w14:paraId="292AAD0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7" w:type="pct"/>
            <w:tcBorders>
              <w:top w:val="nil"/>
              <w:left w:val="nil"/>
              <w:bottom w:val="single" w:sz="4" w:space="0" w:color="auto"/>
              <w:right w:val="single" w:sz="4" w:space="0" w:color="auto"/>
            </w:tcBorders>
            <w:shd w:val="clear" w:color="000000" w:fill="FFFFFF"/>
            <w:noWrap/>
            <w:vAlign w:val="center"/>
          </w:tcPr>
          <w:p w14:paraId="653D276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31" w:type="pct"/>
            <w:tcBorders>
              <w:top w:val="nil"/>
              <w:left w:val="nil"/>
              <w:bottom w:val="single" w:sz="4" w:space="0" w:color="auto"/>
              <w:right w:val="single" w:sz="4" w:space="0" w:color="auto"/>
            </w:tcBorders>
            <w:shd w:val="clear" w:color="000000" w:fill="FFFFFF"/>
            <w:noWrap/>
            <w:vAlign w:val="center"/>
          </w:tcPr>
          <w:p w14:paraId="761CB0C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65" w:type="pct"/>
            <w:tcBorders>
              <w:top w:val="nil"/>
              <w:left w:val="nil"/>
              <w:bottom w:val="single" w:sz="4" w:space="0" w:color="auto"/>
              <w:right w:val="single" w:sz="4" w:space="0" w:color="auto"/>
            </w:tcBorders>
            <w:shd w:val="clear" w:color="000000" w:fill="FFFFFF"/>
            <w:noWrap/>
            <w:vAlign w:val="center"/>
          </w:tcPr>
          <w:p w14:paraId="45B64B0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90" w:type="pct"/>
            <w:tcBorders>
              <w:top w:val="nil"/>
              <w:left w:val="nil"/>
              <w:bottom w:val="single" w:sz="4" w:space="0" w:color="auto"/>
              <w:right w:val="single" w:sz="4" w:space="0" w:color="auto"/>
            </w:tcBorders>
            <w:shd w:val="clear" w:color="000000" w:fill="FFFFFF"/>
          </w:tcPr>
          <w:p w14:paraId="7D6A6207"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w:t>
            </w:r>
          </w:p>
        </w:tc>
      </w:tr>
      <w:tr w:rsidR="00EE4BF0" w:rsidRPr="00646ABB" w14:paraId="2D39ABC1" w14:textId="77777777" w:rsidTr="007D1DAE">
        <w:trPr>
          <w:trHeight w:val="330"/>
        </w:trPr>
        <w:tc>
          <w:tcPr>
            <w:tcW w:w="4710" w:type="pct"/>
            <w:gridSpan w:val="19"/>
            <w:tcBorders>
              <w:top w:val="single" w:sz="4" w:space="0" w:color="auto"/>
              <w:left w:val="single" w:sz="4" w:space="0" w:color="auto"/>
              <w:bottom w:val="single" w:sz="4" w:space="0" w:color="auto"/>
              <w:right w:val="single" w:sz="4" w:space="0" w:color="auto"/>
            </w:tcBorders>
            <w:shd w:val="clear" w:color="000000" w:fill="FFFFFF"/>
            <w:noWrap/>
          </w:tcPr>
          <w:p w14:paraId="227A46C4" w14:textId="77777777" w:rsidR="00EE4BF0" w:rsidRDefault="00EE4BF0" w:rsidP="007D1DAE">
            <w:pPr>
              <w:spacing w:after="0" w:line="480" w:lineRule="auto"/>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Notes: questions from the grid assessing the credibility of observational studies (Berger et al. (2014)).</w:t>
            </w:r>
          </w:p>
          <w:p w14:paraId="47F97F7B"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r>
              <w:rPr>
                <w:rFonts w:ascii="Times New Roman" w:eastAsia="Times New Roman" w:hAnsi="Times New Roman"/>
                <w:color w:val="000000"/>
                <w:sz w:val="20"/>
                <w:szCs w:val="20"/>
                <w:lang w:val="en-US" w:eastAsia="fr-FR"/>
              </w:rPr>
              <w:t xml:space="preserve">0 = quality item not fulfilled in the paper. 1 = quality item fulfilled in the paper. </w:t>
            </w:r>
          </w:p>
          <w:p w14:paraId="499C66F4"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tc>
        <w:tc>
          <w:tcPr>
            <w:tcW w:w="290" w:type="pct"/>
            <w:tcBorders>
              <w:top w:val="single" w:sz="4" w:space="0" w:color="auto"/>
              <w:left w:val="single" w:sz="4" w:space="0" w:color="auto"/>
              <w:bottom w:val="single" w:sz="4" w:space="0" w:color="auto"/>
              <w:right w:val="single" w:sz="4" w:space="0" w:color="auto"/>
            </w:tcBorders>
            <w:shd w:val="clear" w:color="000000" w:fill="FFFFFF"/>
          </w:tcPr>
          <w:p w14:paraId="10266D3E"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tc>
      </w:tr>
    </w:tbl>
    <w:p w14:paraId="187EE8DA" w14:textId="77777777" w:rsidR="00EE4BF0" w:rsidRPr="00E85D55" w:rsidRDefault="00EE4BF0" w:rsidP="00EE4BF0">
      <w:pPr>
        <w:spacing w:after="0" w:line="480" w:lineRule="auto"/>
        <w:jc w:val="both"/>
        <w:rPr>
          <w:rFonts w:ascii="Times New Roman" w:hAnsi="Times New Roman"/>
          <w:i/>
          <w:sz w:val="20"/>
          <w:szCs w:val="20"/>
          <w:lang w:val="en-US"/>
        </w:rPr>
      </w:pPr>
    </w:p>
    <w:p w14:paraId="57B7AF96" w14:textId="77777777" w:rsidR="00EE4BF0" w:rsidRDefault="00EE4BF0" w:rsidP="00EE4BF0">
      <w:pPr>
        <w:spacing w:after="0" w:line="240" w:lineRule="auto"/>
        <w:rPr>
          <w:rFonts w:ascii="Times New Roman" w:hAnsi="Times New Roman"/>
          <w:i/>
          <w:sz w:val="20"/>
          <w:szCs w:val="20"/>
          <w:lang w:val="en-US"/>
        </w:rPr>
      </w:pPr>
      <w:r>
        <w:rPr>
          <w:rFonts w:ascii="Times New Roman" w:hAnsi="Times New Roman"/>
          <w:i/>
          <w:sz w:val="20"/>
          <w:szCs w:val="20"/>
          <w:lang w:val="en-US"/>
        </w:rPr>
        <w:br w:type="page"/>
      </w:r>
    </w:p>
    <w:p w14:paraId="3CD7F6C4" w14:textId="77777777" w:rsidR="00EE4BF0" w:rsidRPr="00E85D55" w:rsidRDefault="00EE4BF0" w:rsidP="00EE4BF0">
      <w:pPr>
        <w:spacing w:after="0" w:line="480" w:lineRule="auto"/>
        <w:jc w:val="both"/>
        <w:rPr>
          <w:rFonts w:ascii="Times New Roman" w:hAnsi="Times New Roman"/>
          <w:i/>
          <w:sz w:val="20"/>
          <w:szCs w:val="20"/>
          <w:lang w:val="en-US"/>
        </w:rPr>
      </w:pPr>
    </w:p>
    <w:tbl>
      <w:tblPr>
        <w:tblW w:w="5187" w:type="pct"/>
        <w:tblInd w:w="-530" w:type="dxa"/>
        <w:tblCellMar>
          <w:left w:w="70" w:type="dxa"/>
          <w:right w:w="70" w:type="dxa"/>
        </w:tblCellMar>
        <w:tblLook w:val="04A0" w:firstRow="1" w:lastRow="0" w:firstColumn="1" w:lastColumn="0" w:noHBand="0" w:noVBand="1"/>
      </w:tblPr>
      <w:tblGrid>
        <w:gridCol w:w="306"/>
        <w:gridCol w:w="2561"/>
        <w:gridCol w:w="528"/>
        <w:gridCol w:w="563"/>
        <w:gridCol w:w="563"/>
        <w:gridCol w:w="661"/>
        <w:gridCol w:w="505"/>
        <w:gridCol w:w="557"/>
        <w:gridCol w:w="505"/>
        <w:gridCol w:w="505"/>
        <w:gridCol w:w="568"/>
        <w:gridCol w:w="670"/>
        <w:gridCol w:w="664"/>
        <w:gridCol w:w="772"/>
        <w:gridCol w:w="772"/>
        <w:gridCol w:w="967"/>
        <w:gridCol w:w="571"/>
        <w:gridCol w:w="670"/>
        <w:gridCol w:w="769"/>
        <w:gridCol w:w="851"/>
      </w:tblGrid>
      <w:tr w:rsidR="00EE4BF0" w:rsidRPr="00646ABB" w14:paraId="0D38AC42" w14:textId="77777777" w:rsidTr="007D1DAE">
        <w:trPr>
          <w:trHeight w:val="270"/>
        </w:trPr>
        <w:tc>
          <w:tcPr>
            <w:tcW w:w="4710" w:type="pct"/>
            <w:gridSpan w:val="19"/>
            <w:shd w:val="clear" w:color="000000" w:fill="FFFFFF"/>
            <w:noWrap/>
            <w:vAlign w:val="center"/>
          </w:tcPr>
          <w:p w14:paraId="44229EE9" w14:textId="77777777" w:rsidR="00EE4BF0" w:rsidRPr="00397FD3" w:rsidRDefault="00EE4BF0" w:rsidP="007D1DAE">
            <w:pPr>
              <w:spacing w:after="0" w:line="480" w:lineRule="auto"/>
              <w:jc w:val="center"/>
              <w:rPr>
                <w:rFonts w:ascii="Times New Roman" w:eastAsia="Times New Roman" w:hAnsi="Times New Roman"/>
                <w:color w:val="000000"/>
                <w:u w:val="single"/>
                <w:lang w:val="en-US" w:eastAsia="fr-FR"/>
              </w:rPr>
            </w:pPr>
            <w:r w:rsidRPr="00397FD3">
              <w:rPr>
                <w:rFonts w:ascii="Times New Roman" w:eastAsia="Times New Roman" w:hAnsi="Times New Roman"/>
                <w:color w:val="000000"/>
                <w:u w:val="single"/>
                <w:lang w:val="en-US" w:eastAsia="fr-FR"/>
              </w:rPr>
              <w:t xml:space="preserve">Table A.3.4 : assessment of credibility with respect to the </w:t>
            </w:r>
            <w:r w:rsidRPr="00397FD3">
              <w:rPr>
                <w:rFonts w:ascii="Times New Roman" w:eastAsia="Times New Roman" w:hAnsi="Times New Roman"/>
                <w:i/>
                <w:color w:val="000000"/>
                <w:u w:val="single"/>
                <w:lang w:val="en-US" w:eastAsia="fr-FR"/>
              </w:rPr>
              <w:t>reporting</w:t>
            </w:r>
            <w:r w:rsidRPr="00397FD3">
              <w:rPr>
                <w:rFonts w:ascii="Times New Roman" w:eastAsia="Times New Roman" w:hAnsi="Times New Roman"/>
                <w:color w:val="000000"/>
                <w:u w:val="single"/>
                <w:lang w:val="en-US" w:eastAsia="fr-FR"/>
              </w:rPr>
              <w:t xml:space="preserve"> domain</w:t>
            </w:r>
          </w:p>
          <w:p w14:paraId="7F372516" w14:textId="77777777" w:rsidR="00EE4BF0" w:rsidRPr="00E85D55" w:rsidRDefault="00EE4BF0" w:rsidP="007D1DAE">
            <w:pPr>
              <w:spacing w:after="0" w:line="480" w:lineRule="auto"/>
              <w:jc w:val="center"/>
              <w:rPr>
                <w:rFonts w:ascii="Times New Roman" w:eastAsia="Times New Roman" w:hAnsi="Times New Roman"/>
                <w:color w:val="000000"/>
                <w:sz w:val="20"/>
                <w:szCs w:val="20"/>
                <w:u w:val="single"/>
                <w:lang w:val="en-US" w:eastAsia="fr-FR"/>
              </w:rPr>
            </w:pPr>
          </w:p>
        </w:tc>
        <w:tc>
          <w:tcPr>
            <w:tcW w:w="290" w:type="pct"/>
            <w:shd w:val="clear" w:color="000000" w:fill="FFFFFF"/>
          </w:tcPr>
          <w:p w14:paraId="0196B209" w14:textId="77777777" w:rsidR="00EE4BF0" w:rsidRPr="00E85D55" w:rsidRDefault="00EE4BF0" w:rsidP="007D1DAE">
            <w:pPr>
              <w:spacing w:after="0" w:line="480" w:lineRule="auto"/>
              <w:jc w:val="center"/>
              <w:rPr>
                <w:rFonts w:ascii="Times New Roman" w:eastAsia="Times New Roman" w:hAnsi="Times New Roman"/>
                <w:color w:val="000000"/>
                <w:sz w:val="20"/>
                <w:szCs w:val="20"/>
                <w:u w:val="single"/>
                <w:lang w:val="en-US" w:eastAsia="fr-FR"/>
              </w:rPr>
            </w:pPr>
          </w:p>
        </w:tc>
      </w:tr>
      <w:tr w:rsidR="00EE4BF0" w:rsidRPr="00E85D55" w14:paraId="0FB4D014" w14:textId="77777777" w:rsidTr="007D1DAE">
        <w:trPr>
          <w:trHeight w:val="270"/>
        </w:trPr>
        <w:tc>
          <w:tcPr>
            <w:tcW w:w="106" w:type="pct"/>
            <w:vMerge w:val="restart"/>
            <w:tcBorders>
              <w:top w:val="single" w:sz="4" w:space="0" w:color="auto"/>
              <w:left w:val="single" w:sz="4" w:space="0" w:color="auto"/>
              <w:right w:val="single" w:sz="4" w:space="0" w:color="auto"/>
            </w:tcBorders>
            <w:shd w:val="clear" w:color="000000" w:fill="FFFFFF"/>
            <w:noWrap/>
            <w:vAlign w:val="center"/>
            <w:hideMark/>
          </w:tcPr>
          <w:p w14:paraId="5235212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 </w:t>
            </w:r>
          </w:p>
          <w:p w14:paraId="5B462EA5"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 </w:t>
            </w:r>
          </w:p>
        </w:tc>
        <w:tc>
          <w:tcPr>
            <w:tcW w:w="88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E78652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Question</w:t>
            </w:r>
          </w:p>
        </w:tc>
        <w:tc>
          <w:tcPr>
            <w:tcW w:w="182" w:type="pct"/>
            <w:tcBorders>
              <w:top w:val="single" w:sz="4" w:space="0" w:color="auto"/>
              <w:left w:val="nil"/>
              <w:bottom w:val="single" w:sz="4" w:space="0" w:color="auto"/>
              <w:right w:val="single" w:sz="4" w:space="0" w:color="auto"/>
            </w:tcBorders>
            <w:shd w:val="clear" w:color="000000" w:fill="FFFFFF"/>
            <w:vAlign w:val="center"/>
            <w:hideMark/>
          </w:tcPr>
          <w:p w14:paraId="5BCC801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w:t>
            </w:r>
          </w:p>
        </w:tc>
        <w:tc>
          <w:tcPr>
            <w:tcW w:w="194" w:type="pct"/>
            <w:tcBorders>
              <w:top w:val="single" w:sz="4" w:space="0" w:color="auto"/>
              <w:left w:val="nil"/>
              <w:bottom w:val="single" w:sz="4" w:space="0" w:color="auto"/>
              <w:right w:val="single" w:sz="4" w:space="0" w:color="auto"/>
            </w:tcBorders>
            <w:shd w:val="clear" w:color="000000" w:fill="FFFFFF"/>
            <w:vAlign w:val="center"/>
            <w:hideMark/>
          </w:tcPr>
          <w:p w14:paraId="4F5C1CF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2</w:t>
            </w:r>
          </w:p>
        </w:tc>
        <w:tc>
          <w:tcPr>
            <w:tcW w:w="194" w:type="pct"/>
            <w:tcBorders>
              <w:top w:val="single" w:sz="4" w:space="0" w:color="auto"/>
              <w:left w:val="nil"/>
              <w:bottom w:val="single" w:sz="4" w:space="0" w:color="auto"/>
              <w:right w:val="single" w:sz="4" w:space="0" w:color="auto"/>
            </w:tcBorders>
            <w:shd w:val="clear" w:color="000000" w:fill="FFFFFF"/>
            <w:vAlign w:val="center"/>
            <w:hideMark/>
          </w:tcPr>
          <w:p w14:paraId="1BD1468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3</w:t>
            </w:r>
          </w:p>
        </w:tc>
        <w:tc>
          <w:tcPr>
            <w:tcW w:w="228" w:type="pct"/>
            <w:tcBorders>
              <w:top w:val="single" w:sz="4" w:space="0" w:color="auto"/>
              <w:left w:val="nil"/>
              <w:bottom w:val="single" w:sz="4" w:space="0" w:color="auto"/>
              <w:right w:val="single" w:sz="4" w:space="0" w:color="auto"/>
            </w:tcBorders>
            <w:shd w:val="clear" w:color="000000" w:fill="FFFFFF"/>
            <w:vAlign w:val="center"/>
            <w:hideMark/>
          </w:tcPr>
          <w:p w14:paraId="468B14A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4</w:t>
            </w:r>
          </w:p>
        </w:tc>
        <w:tc>
          <w:tcPr>
            <w:tcW w:w="174" w:type="pct"/>
            <w:tcBorders>
              <w:top w:val="single" w:sz="4" w:space="0" w:color="auto"/>
              <w:left w:val="nil"/>
              <w:bottom w:val="single" w:sz="4" w:space="0" w:color="auto"/>
              <w:right w:val="single" w:sz="4" w:space="0" w:color="auto"/>
            </w:tcBorders>
            <w:shd w:val="clear" w:color="000000" w:fill="FFFFFF"/>
            <w:vAlign w:val="center"/>
            <w:hideMark/>
          </w:tcPr>
          <w:p w14:paraId="60A4880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5</w:t>
            </w:r>
          </w:p>
        </w:tc>
        <w:tc>
          <w:tcPr>
            <w:tcW w:w="192" w:type="pct"/>
            <w:tcBorders>
              <w:top w:val="single" w:sz="4" w:space="0" w:color="auto"/>
              <w:left w:val="nil"/>
              <w:bottom w:val="single" w:sz="4" w:space="0" w:color="auto"/>
              <w:right w:val="single" w:sz="4" w:space="0" w:color="auto"/>
            </w:tcBorders>
            <w:shd w:val="clear" w:color="000000" w:fill="FFFFFF"/>
            <w:vAlign w:val="center"/>
            <w:hideMark/>
          </w:tcPr>
          <w:p w14:paraId="2302B52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6</w:t>
            </w:r>
          </w:p>
        </w:tc>
        <w:tc>
          <w:tcPr>
            <w:tcW w:w="174" w:type="pct"/>
            <w:tcBorders>
              <w:top w:val="single" w:sz="4" w:space="0" w:color="auto"/>
              <w:left w:val="nil"/>
              <w:bottom w:val="single" w:sz="4" w:space="0" w:color="auto"/>
              <w:right w:val="single" w:sz="4" w:space="0" w:color="auto"/>
            </w:tcBorders>
            <w:shd w:val="clear" w:color="000000" w:fill="FFFFFF"/>
            <w:vAlign w:val="center"/>
            <w:hideMark/>
          </w:tcPr>
          <w:p w14:paraId="39EC7FB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7</w:t>
            </w:r>
          </w:p>
        </w:tc>
        <w:tc>
          <w:tcPr>
            <w:tcW w:w="174" w:type="pct"/>
            <w:tcBorders>
              <w:top w:val="single" w:sz="4" w:space="0" w:color="auto"/>
              <w:left w:val="nil"/>
              <w:bottom w:val="single" w:sz="4" w:space="0" w:color="auto"/>
              <w:right w:val="single" w:sz="4" w:space="0" w:color="auto"/>
            </w:tcBorders>
            <w:shd w:val="clear" w:color="000000" w:fill="FFFFFF"/>
            <w:vAlign w:val="center"/>
            <w:hideMark/>
          </w:tcPr>
          <w:p w14:paraId="40ED8F6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8</w:t>
            </w:r>
          </w:p>
        </w:tc>
        <w:tc>
          <w:tcPr>
            <w:tcW w:w="196" w:type="pct"/>
            <w:tcBorders>
              <w:top w:val="single" w:sz="4" w:space="0" w:color="auto"/>
              <w:left w:val="nil"/>
              <w:bottom w:val="single" w:sz="4" w:space="0" w:color="auto"/>
              <w:right w:val="single" w:sz="4" w:space="0" w:color="auto"/>
            </w:tcBorders>
            <w:shd w:val="clear" w:color="000000" w:fill="FFFFFF"/>
            <w:vAlign w:val="center"/>
            <w:hideMark/>
          </w:tcPr>
          <w:p w14:paraId="74A3A4D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9</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14:paraId="44F84D1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10</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14:paraId="04B3063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11</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14:paraId="630213B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12</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14:paraId="61BA517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13</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14:paraId="43D4AFE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14</w:t>
            </w:r>
          </w:p>
        </w:tc>
        <w:tc>
          <w:tcPr>
            <w:tcW w:w="197" w:type="pct"/>
            <w:tcBorders>
              <w:top w:val="single" w:sz="4" w:space="0" w:color="auto"/>
              <w:left w:val="nil"/>
              <w:bottom w:val="single" w:sz="4" w:space="0" w:color="auto"/>
              <w:right w:val="single" w:sz="4" w:space="0" w:color="auto"/>
            </w:tcBorders>
            <w:shd w:val="clear" w:color="000000" w:fill="FFFFFF"/>
            <w:vAlign w:val="center"/>
            <w:hideMark/>
          </w:tcPr>
          <w:p w14:paraId="516D110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15</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14:paraId="6033FB4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16</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14:paraId="453BF80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17</w:t>
            </w:r>
          </w:p>
        </w:tc>
        <w:tc>
          <w:tcPr>
            <w:tcW w:w="290" w:type="pct"/>
            <w:tcBorders>
              <w:top w:val="single" w:sz="4" w:space="0" w:color="auto"/>
              <w:left w:val="nil"/>
              <w:bottom w:val="single" w:sz="4" w:space="0" w:color="auto"/>
              <w:right w:val="single" w:sz="4" w:space="0" w:color="auto"/>
            </w:tcBorders>
            <w:shd w:val="clear" w:color="000000" w:fill="FFFFFF"/>
          </w:tcPr>
          <w:p w14:paraId="28A6526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p>
        </w:tc>
      </w:tr>
      <w:tr w:rsidR="00EE4BF0" w:rsidRPr="00E85D55" w14:paraId="14B02A47" w14:textId="77777777" w:rsidTr="007D1DAE">
        <w:trPr>
          <w:cantSplit/>
          <w:trHeight w:val="1201"/>
        </w:trPr>
        <w:tc>
          <w:tcPr>
            <w:tcW w:w="106" w:type="pct"/>
            <w:vMerge/>
            <w:tcBorders>
              <w:left w:val="single" w:sz="4" w:space="0" w:color="auto"/>
              <w:bottom w:val="single" w:sz="4" w:space="0" w:color="auto"/>
              <w:right w:val="single" w:sz="4" w:space="0" w:color="auto"/>
            </w:tcBorders>
            <w:shd w:val="clear" w:color="000000" w:fill="FFFFFF"/>
            <w:noWrap/>
            <w:vAlign w:val="center"/>
            <w:hideMark/>
          </w:tcPr>
          <w:p w14:paraId="269F56C0"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p>
        </w:tc>
        <w:tc>
          <w:tcPr>
            <w:tcW w:w="882" w:type="pct"/>
            <w:vMerge/>
            <w:tcBorders>
              <w:top w:val="single" w:sz="4" w:space="0" w:color="auto"/>
              <w:left w:val="single" w:sz="4" w:space="0" w:color="auto"/>
              <w:bottom w:val="single" w:sz="4" w:space="0" w:color="000000"/>
              <w:right w:val="single" w:sz="4" w:space="0" w:color="auto"/>
            </w:tcBorders>
            <w:vAlign w:val="center"/>
            <w:hideMark/>
          </w:tcPr>
          <w:p w14:paraId="49CFC22A" w14:textId="77777777" w:rsidR="00EE4BF0" w:rsidRPr="00E85D55" w:rsidRDefault="00EE4BF0" w:rsidP="007D1DAE">
            <w:pPr>
              <w:spacing w:after="0" w:line="480" w:lineRule="auto"/>
              <w:rPr>
                <w:rFonts w:ascii="Times New Roman" w:eastAsia="Times New Roman" w:hAnsi="Times New Roman"/>
                <w:color w:val="000000"/>
                <w:sz w:val="20"/>
                <w:szCs w:val="20"/>
                <w:lang w:eastAsia="fr-FR"/>
              </w:rPr>
            </w:pPr>
          </w:p>
        </w:tc>
        <w:tc>
          <w:tcPr>
            <w:tcW w:w="182" w:type="pct"/>
            <w:tcBorders>
              <w:top w:val="nil"/>
              <w:left w:val="nil"/>
              <w:bottom w:val="single" w:sz="4" w:space="0" w:color="auto"/>
              <w:right w:val="single" w:sz="4" w:space="0" w:color="auto"/>
            </w:tcBorders>
            <w:shd w:val="clear" w:color="000000" w:fill="FFFFFF"/>
            <w:textDirection w:val="btLr"/>
            <w:vAlign w:val="center"/>
            <w:hideMark/>
          </w:tcPr>
          <w:p w14:paraId="4258AADC"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Rothman </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(2008)</w:t>
            </w:r>
          </w:p>
        </w:tc>
        <w:tc>
          <w:tcPr>
            <w:tcW w:w="194" w:type="pct"/>
            <w:tcBorders>
              <w:top w:val="nil"/>
              <w:left w:val="nil"/>
              <w:bottom w:val="single" w:sz="4" w:space="0" w:color="auto"/>
              <w:right w:val="single" w:sz="4" w:space="0" w:color="auto"/>
            </w:tcBorders>
            <w:shd w:val="clear" w:color="000000" w:fill="FFFFFF"/>
            <w:textDirection w:val="btLr"/>
            <w:vAlign w:val="center"/>
            <w:hideMark/>
          </w:tcPr>
          <w:p w14:paraId="5E9F9F73"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Rochat</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(2010)</w:t>
            </w:r>
          </w:p>
        </w:tc>
        <w:tc>
          <w:tcPr>
            <w:tcW w:w="194" w:type="pct"/>
            <w:tcBorders>
              <w:top w:val="nil"/>
              <w:left w:val="nil"/>
              <w:bottom w:val="single" w:sz="4" w:space="0" w:color="auto"/>
              <w:right w:val="single" w:sz="4" w:space="0" w:color="auto"/>
            </w:tcBorders>
            <w:shd w:val="clear" w:color="000000" w:fill="FFFFFF"/>
            <w:textDirection w:val="btLr"/>
            <w:vAlign w:val="center"/>
            <w:hideMark/>
          </w:tcPr>
          <w:p w14:paraId="2CB4DD57"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Gobbens </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14:paraId="319C0EED"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Hoeck</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174" w:type="pct"/>
            <w:tcBorders>
              <w:top w:val="nil"/>
              <w:left w:val="nil"/>
              <w:bottom w:val="single" w:sz="4" w:space="0" w:color="auto"/>
              <w:right w:val="single" w:sz="4" w:space="0" w:color="auto"/>
            </w:tcBorders>
            <w:shd w:val="clear" w:color="000000" w:fill="FFFFFF"/>
            <w:textDirection w:val="btLr"/>
            <w:vAlign w:val="center"/>
            <w:hideMark/>
          </w:tcPr>
          <w:p w14:paraId="4AF5560A"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Hogan</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192" w:type="pct"/>
            <w:tcBorders>
              <w:top w:val="nil"/>
              <w:left w:val="nil"/>
              <w:bottom w:val="single" w:sz="4" w:space="0" w:color="auto"/>
              <w:right w:val="single" w:sz="4" w:space="0" w:color="auto"/>
            </w:tcBorders>
            <w:shd w:val="clear" w:color="000000" w:fill="FFFFFF"/>
            <w:textDirection w:val="btLr"/>
            <w:vAlign w:val="center"/>
            <w:hideMark/>
          </w:tcPr>
          <w:p w14:paraId="40F2A376"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Schoufour</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(2014)</w:t>
            </w:r>
          </w:p>
        </w:tc>
        <w:tc>
          <w:tcPr>
            <w:tcW w:w="174" w:type="pct"/>
            <w:tcBorders>
              <w:top w:val="nil"/>
              <w:left w:val="nil"/>
              <w:bottom w:val="single" w:sz="4" w:space="0" w:color="auto"/>
              <w:right w:val="single" w:sz="4" w:space="0" w:color="auto"/>
            </w:tcBorders>
            <w:shd w:val="clear" w:color="000000" w:fill="FFFFFF"/>
            <w:textDirection w:val="btLr"/>
            <w:vAlign w:val="center"/>
            <w:hideMark/>
          </w:tcPr>
          <w:p w14:paraId="3775B9F0"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Hirani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(2015)</w:t>
            </w:r>
          </w:p>
        </w:tc>
        <w:tc>
          <w:tcPr>
            <w:tcW w:w="174" w:type="pct"/>
            <w:tcBorders>
              <w:top w:val="nil"/>
              <w:left w:val="nil"/>
              <w:bottom w:val="single" w:sz="4" w:space="0" w:color="auto"/>
              <w:right w:val="single" w:sz="4" w:space="0" w:color="auto"/>
            </w:tcBorders>
            <w:shd w:val="clear" w:color="000000" w:fill="FFFFFF"/>
            <w:textDirection w:val="btLr"/>
            <w:vAlign w:val="center"/>
            <w:hideMark/>
          </w:tcPr>
          <w:p w14:paraId="3A6AFE62"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Bentur</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196" w:type="pct"/>
            <w:tcBorders>
              <w:top w:val="nil"/>
              <w:left w:val="nil"/>
              <w:bottom w:val="single" w:sz="4" w:space="0" w:color="auto"/>
              <w:right w:val="single" w:sz="4" w:space="0" w:color="auto"/>
            </w:tcBorders>
            <w:shd w:val="clear" w:color="000000" w:fill="FFFFFF"/>
            <w:textDirection w:val="btLr"/>
            <w:vAlign w:val="center"/>
            <w:hideMark/>
          </w:tcPr>
          <w:p w14:paraId="35ADD968"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Bock</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31" w:type="pct"/>
            <w:tcBorders>
              <w:top w:val="nil"/>
              <w:left w:val="nil"/>
              <w:bottom w:val="single" w:sz="4" w:space="0" w:color="auto"/>
              <w:right w:val="single" w:sz="4" w:space="0" w:color="auto"/>
            </w:tcBorders>
            <w:shd w:val="clear" w:color="000000" w:fill="FFFFFF"/>
            <w:textDirection w:val="btLr"/>
            <w:vAlign w:val="center"/>
            <w:hideMark/>
          </w:tcPr>
          <w:p w14:paraId="697A4285"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Butler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eastAsia="fr-FR"/>
              </w:rPr>
              <w:t xml:space="preserve"> (2016)</w:t>
            </w:r>
          </w:p>
        </w:tc>
        <w:tc>
          <w:tcPr>
            <w:tcW w:w="229" w:type="pct"/>
            <w:tcBorders>
              <w:top w:val="nil"/>
              <w:left w:val="nil"/>
              <w:bottom w:val="single" w:sz="4" w:space="0" w:color="auto"/>
              <w:right w:val="single" w:sz="4" w:space="0" w:color="auto"/>
            </w:tcBorders>
            <w:shd w:val="clear" w:color="000000" w:fill="FFFFFF"/>
            <w:textDirection w:val="btLr"/>
            <w:vAlign w:val="center"/>
            <w:hideMark/>
          </w:tcPr>
          <w:p w14:paraId="1256DD0F"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Campitelli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66" w:type="pct"/>
            <w:tcBorders>
              <w:top w:val="nil"/>
              <w:left w:val="nil"/>
              <w:bottom w:val="single" w:sz="4" w:space="0" w:color="auto"/>
              <w:right w:val="single" w:sz="4" w:space="0" w:color="auto"/>
            </w:tcBorders>
            <w:shd w:val="clear" w:color="000000" w:fill="FFFFFF"/>
            <w:textDirection w:val="btLr"/>
            <w:vAlign w:val="center"/>
            <w:hideMark/>
          </w:tcPr>
          <w:p w14:paraId="296B3BC7"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Kelaiditi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66" w:type="pct"/>
            <w:tcBorders>
              <w:top w:val="nil"/>
              <w:left w:val="nil"/>
              <w:bottom w:val="single" w:sz="4" w:space="0" w:color="auto"/>
              <w:right w:val="single" w:sz="4" w:space="0" w:color="auto"/>
            </w:tcBorders>
            <w:shd w:val="clear" w:color="000000" w:fill="FFFFFF"/>
            <w:textDirection w:val="btLr"/>
            <w:vAlign w:val="center"/>
            <w:hideMark/>
          </w:tcPr>
          <w:p w14:paraId="11E10508"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Gonzalez-Colaço</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(2017)</w:t>
            </w:r>
          </w:p>
        </w:tc>
        <w:tc>
          <w:tcPr>
            <w:tcW w:w="333" w:type="pct"/>
            <w:tcBorders>
              <w:top w:val="nil"/>
              <w:left w:val="nil"/>
              <w:bottom w:val="single" w:sz="4" w:space="0" w:color="auto"/>
              <w:right w:val="single" w:sz="4" w:space="0" w:color="auto"/>
            </w:tcBorders>
            <w:shd w:val="clear" w:color="auto" w:fill="auto"/>
            <w:textDirection w:val="btLr"/>
            <w:vAlign w:val="center"/>
            <w:hideMark/>
          </w:tcPr>
          <w:p w14:paraId="008ABF2E"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Ferrante</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(2018)</w:t>
            </w:r>
          </w:p>
        </w:tc>
        <w:tc>
          <w:tcPr>
            <w:tcW w:w="197" w:type="pct"/>
            <w:tcBorders>
              <w:top w:val="nil"/>
              <w:left w:val="nil"/>
              <w:bottom w:val="single" w:sz="4" w:space="0" w:color="auto"/>
              <w:right w:val="single" w:sz="4" w:space="0" w:color="auto"/>
            </w:tcBorders>
            <w:shd w:val="clear" w:color="auto" w:fill="auto"/>
            <w:textDirection w:val="btLr"/>
            <w:vAlign w:val="center"/>
            <w:hideMark/>
          </w:tcPr>
          <w:p w14:paraId="65D4EED2"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Hajek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eastAsia="fr-FR"/>
              </w:rPr>
              <w:t xml:space="preserve"> (2018)</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34DAE773"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val="en-US" w:eastAsia="fr-FR"/>
              </w:rPr>
              <w:t xml:space="preserve">Lambotte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val="en-US" w:eastAsia="fr-FR"/>
              </w:rPr>
              <w:t xml:space="preserve"> (2018)</w:t>
            </w:r>
          </w:p>
        </w:tc>
        <w:tc>
          <w:tcPr>
            <w:tcW w:w="265" w:type="pct"/>
            <w:tcBorders>
              <w:top w:val="nil"/>
              <w:left w:val="nil"/>
              <w:bottom w:val="single" w:sz="4" w:space="0" w:color="auto"/>
              <w:right w:val="single" w:sz="4" w:space="0" w:color="auto"/>
            </w:tcBorders>
            <w:shd w:val="clear" w:color="auto" w:fill="auto"/>
            <w:textDirection w:val="btLr"/>
            <w:vAlign w:val="center"/>
            <w:hideMark/>
          </w:tcPr>
          <w:p w14:paraId="4CEE0111"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val="en-US" w:eastAsia="fr-FR"/>
              </w:rPr>
              <w:t xml:space="preserve">Verve </w:t>
            </w:r>
            <w:r>
              <w:rPr>
                <w:rFonts w:ascii="Times New Roman" w:eastAsia="Times New Roman" w:hAnsi="Times New Roman"/>
                <w:color w:val="000000"/>
                <w:sz w:val="18"/>
                <w:szCs w:val="20"/>
                <w:lang w:val="en-US" w:eastAsia="fr-FR"/>
              </w:rPr>
              <w:t xml:space="preserve">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val="en-US" w:eastAsia="fr-FR"/>
              </w:rPr>
              <w:t xml:space="preserve"> (2018)</w:t>
            </w:r>
          </w:p>
        </w:tc>
        <w:tc>
          <w:tcPr>
            <w:tcW w:w="290" w:type="pct"/>
            <w:tcBorders>
              <w:top w:val="nil"/>
              <w:left w:val="nil"/>
              <w:bottom w:val="single" w:sz="4" w:space="0" w:color="auto"/>
              <w:right w:val="single" w:sz="4" w:space="0" w:color="auto"/>
            </w:tcBorders>
            <w:textDirection w:val="btLr"/>
          </w:tcPr>
          <w:p w14:paraId="61ABBE4B"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val="en-US" w:eastAsia="fr-FR"/>
              </w:rPr>
              <w:t>Number of studies coded 1</w:t>
            </w:r>
          </w:p>
        </w:tc>
      </w:tr>
      <w:tr w:rsidR="00EE4BF0" w:rsidRPr="00E85D55" w14:paraId="54FB6908" w14:textId="77777777" w:rsidTr="007D1DAE">
        <w:trPr>
          <w:cantSplit/>
          <w:trHeight w:val="60"/>
        </w:trPr>
        <w:tc>
          <w:tcPr>
            <w:tcW w:w="106" w:type="pct"/>
            <w:tcBorders>
              <w:left w:val="single" w:sz="4" w:space="0" w:color="auto"/>
              <w:bottom w:val="single" w:sz="4" w:space="0" w:color="auto"/>
              <w:right w:val="single" w:sz="4" w:space="0" w:color="auto"/>
            </w:tcBorders>
            <w:shd w:val="clear" w:color="000000" w:fill="FFFFFF"/>
            <w:noWrap/>
            <w:vAlign w:val="center"/>
          </w:tcPr>
          <w:p w14:paraId="45528FE7"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p>
        </w:tc>
        <w:tc>
          <w:tcPr>
            <w:tcW w:w="882" w:type="pct"/>
            <w:tcBorders>
              <w:top w:val="single" w:sz="4" w:space="0" w:color="auto"/>
              <w:left w:val="single" w:sz="4" w:space="0" w:color="auto"/>
              <w:bottom w:val="single" w:sz="4" w:space="0" w:color="000000"/>
              <w:right w:val="single" w:sz="4" w:space="0" w:color="auto"/>
            </w:tcBorders>
            <w:vAlign w:val="center"/>
          </w:tcPr>
          <w:p w14:paraId="0B676DE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Reference number</w:t>
            </w:r>
          </w:p>
        </w:tc>
        <w:tc>
          <w:tcPr>
            <w:tcW w:w="182" w:type="pct"/>
            <w:tcBorders>
              <w:top w:val="nil"/>
              <w:left w:val="nil"/>
              <w:bottom w:val="single" w:sz="4" w:space="0" w:color="auto"/>
              <w:right w:val="single" w:sz="4" w:space="0" w:color="auto"/>
            </w:tcBorders>
            <w:shd w:val="clear" w:color="000000" w:fill="FFFFFF"/>
            <w:textDirection w:val="btLr"/>
            <w:vAlign w:val="center"/>
          </w:tcPr>
          <w:p w14:paraId="19F020B8"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XjsvhU7n","properties":{"formattedCitation":"[15]","plainCitation":"[15]","noteIndex":0},"citationItems":[{"id":"Tlgz5ME1/Q2rA0b6m","uris":["http://zotero.org/groups/2323309/items/9RQJKD2K"],"uri":["http://zotero.org/groups/2323309/items/9RQJKD2K"],"itemData":{"id":"Tlgz5ME1/Q2rA0b6m","type":"article-journal","abstract":"To determine the independent prognostic effect of seven potential frailty criteria, including five from the Fried phenotype, on several adverse outcomes. Prospective cohort study. Greater New Haven, Connecticut. Seven hundred fifty-four initially nondisabled, community-living persons aged 70 and older. An assessment of seven potential frailty criteria (slow gait speed, low physical activity, weight loss, exhaustion, weakness, cognitive impairment, and depressive symptoms) was completed at baseline and every 18 months for 72 months. Participants were followed with monthly telephone interviews for up to 96 months to determine the occurrence of chronic disability, long-term nursing home (NH) stays, injurious falls, and death. In analyses adjusted for age, sex, race, education, number of chronic conditions, and the presence of the other potential frailty criteria, three of the five Fried criteria (slow gait speed, low physical activity, and weight loss) were independently associated with chronic disability, long-term NH stays, and death. Slow gait speed was the strongest predictor of chronic disability (hazard ratio (HR)=2.97, 95% confidence interval (CI)=2.32-3.80) and long-term NH stay (HR=3.86, 95% CI=2.23-6.67) and was the only significant predictor of injurious falls (HR=2.19, 95% CI=1.33-3.60). Cognitive impairment was also associated with chronic disability (HR=1.82, 95% CI=1.40-2.38), long-term NH stay (HR=2.64, 95% CI=1.75-3.99), and death (HR=1.54, 95% CI=1.13-2.10), and the magnitude of these associations was comparable with that of weight loss. The results of this study provide strong evidence to support the use of slow gait speed, low physical activity, weight loss, and cognitive impairment as key indicators of frailty while raising concerns about the value of self-reported exhaustion and muscle weakness.","container-title":"JOURNAL OF THE AMERICAN GERIATRICS SOCIETY","DOI":"10.1111/j.1532-5415.2008.02008.x","ISSN":"0002-8614","issue":"12","page":"2211-2216","title":"Prognostic Significance of Potential Frailty Criteria","volume":"56","author":[{"family":"Rothman","given":"Marc D."},{"family":"Leo-Summers","given":"Linda"},{"family":"Gill","given":"Thomas M."}],"issued":{"date-parts":[["2008",12]]}}}],"schema":"https://github.com/citation-style-language/schema/raw/master/csl-citation.json"}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[15]</w:t>
            </w:r>
            <w:r>
              <w:rPr>
                <w:rFonts w:ascii="Times New Roman" w:eastAsia="Times New Roman" w:hAnsi="Times New Roman"/>
                <w:color w:val="000000"/>
                <w:sz w:val="18"/>
                <w:szCs w:val="20"/>
                <w:lang w:eastAsia="fr-FR"/>
              </w:rPr>
              <w:fldChar w:fldCharType="end"/>
            </w:r>
          </w:p>
        </w:tc>
        <w:tc>
          <w:tcPr>
            <w:tcW w:w="194" w:type="pct"/>
            <w:tcBorders>
              <w:top w:val="nil"/>
              <w:left w:val="nil"/>
              <w:bottom w:val="single" w:sz="4" w:space="0" w:color="auto"/>
              <w:right w:val="single" w:sz="4" w:space="0" w:color="auto"/>
            </w:tcBorders>
            <w:shd w:val="clear" w:color="000000" w:fill="FFFFFF"/>
            <w:textDirection w:val="btLr"/>
            <w:vAlign w:val="center"/>
          </w:tcPr>
          <w:p w14:paraId="2C23F89B"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rtXb25jT","properties":{"formattedCitation":"[16]","plainCitation":"[16]","noteIndex":0},"citationItems":[{"id":"Tlgz5ME1/JRVJnGsw","uris":["http://zotero.org/groups/2323309/items/XXJZHIEI"],"uri":["http://zotero.org/groups/2323309/items/XXJZHIEI"],"itemData":{"id":"Tlgz5ME1/JRVJnGsw","type":"article-journal","container-title":"AGE AND AGEING","DOI":"10.1093/ageing/afp257","ISSN":"0002-0729","issue":"2","page":"228-233","title":"Frailty and use of health and community services by community-dwelling older men: the Concord Health and Ageing in Men Project","volume":"39","author":[{"family":"Rochat","given":"Stephane"},{"family":"Cumming","given":"Robert G."},{"family":"Blyth","given":"Fiona"},{"family":"Creasey","given":"Helen"},{"family":"Handelsman","given":"David"},{"family":"Le Couteur","given":"David G."},{"family":"Naganathan","given":"Vasi"},{"family":"Sambrook","given":"Philip N."},{"family":"Seibel","given":"Markus J."},{"family":"Waite","given":"Louise"}],"issued":{"date-parts":[["2010",3]]}}}],"schema":"https://github.com/citation-style-language/schema/raw/master/csl-citation.json"}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[16]</w:t>
            </w:r>
            <w:r>
              <w:rPr>
                <w:rFonts w:ascii="Times New Roman" w:eastAsia="Times New Roman" w:hAnsi="Times New Roman"/>
                <w:color w:val="000000"/>
                <w:sz w:val="18"/>
                <w:szCs w:val="20"/>
                <w:lang w:eastAsia="fr-FR"/>
              </w:rPr>
              <w:fldChar w:fldCharType="end"/>
            </w:r>
          </w:p>
        </w:tc>
        <w:tc>
          <w:tcPr>
            <w:tcW w:w="194" w:type="pct"/>
            <w:tcBorders>
              <w:top w:val="nil"/>
              <w:left w:val="nil"/>
              <w:bottom w:val="single" w:sz="4" w:space="0" w:color="auto"/>
              <w:right w:val="single" w:sz="4" w:space="0" w:color="auto"/>
            </w:tcBorders>
            <w:shd w:val="clear" w:color="000000" w:fill="FFFFFF"/>
            <w:textDirection w:val="btLr"/>
            <w:vAlign w:val="center"/>
          </w:tcPr>
          <w:p w14:paraId="7B0509E7"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Z76UAV7i","properties":{"formattedCitation":"[17]","plainCitation":"[17]","noteIndex":0},"citationItems":[{"id":"Tlgz5ME1/HfuYan15","uris":["http://zotero.org/groups/2323309/items/64THRMTJ"],"uri":["http://zotero.org/groups/2323309/items/64THRMTJ"],"itemData":{"id":"Tlgz5ME1/HfuYan15","type":"article-journal","abstract":"Abstract.  Purpose: To assess the predictive validity of frailty and its domains (physical, psychological, and social), as measured by the Tilburg Frailty Indic","container-title":"The Gerontologist","DOI":"10.1093/geront/gnr135","ISSN":"0016-9013","issue":"5","journalAbbreviation":"Gerontologist","language":"en","page":"619-631","source":"academic.oup.com","title":"The Predictive Validity of the Tilburg Frailty Indicator: Disability, Health Care Utilization, and Quality of Life in a Population at Risk","title-short":"The Predictive Validity of the Tilburg Frailty Indicator","volume":"52","author":[{"family":"Gobbens","given":"Robbert J. J."},{"family":"Assen","given":"Marcel A. L. M.","non-dropping-particle":"van"},{"family":"Luijkx","given":"Katrien G."},{"family":"Schols","given":"Jos M. G. A."}],"issued":{"date-parts":[["2012",10,1]]}}}],"schema":"https://github.com/citation-style-language/schema/raw/master/csl-citation.json"}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[17]</w:t>
            </w:r>
            <w:r>
              <w:rPr>
                <w:rFonts w:ascii="Times New Roman" w:eastAsia="Times New Roman" w:hAnsi="Times New Roman"/>
                <w:color w:val="000000"/>
                <w:sz w:val="18"/>
                <w:szCs w:val="20"/>
                <w:lang w:eastAsia="fr-FR"/>
              </w:rPr>
              <w:fldChar w:fldCharType="end"/>
            </w:r>
          </w:p>
        </w:tc>
        <w:tc>
          <w:tcPr>
            <w:tcW w:w="228" w:type="pct"/>
            <w:tcBorders>
              <w:top w:val="nil"/>
              <w:left w:val="nil"/>
              <w:bottom w:val="single" w:sz="4" w:space="0" w:color="auto"/>
              <w:right w:val="single" w:sz="4" w:space="0" w:color="auto"/>
            </w:tcBorders>
            <w:shd w:val="clear" w:color="000000" w:fill="FFFFFF"/>
            <w:textDirection w:val="btLr"/>
            <w:vAlign w:val="center"/>
          </w:tcPr>
          <w:p w14:paraId="0B59DA95"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hEf2o00r","properties":{"formattedCitation":"[18]","plainCitation":"[18]","noteIndex":0},"citationItems":[{"id":"Tlgz5ME1/OpNdfn6D","uris":["http://zotero.org/groups/2323309/items/GIB375SX"],"uri":["http://zotero.org/groups/2323309/items/GIB375SX"],"itemData":{"id":"Tlgz5ME1/OpNdfn6D","type":"article-journal","abstract":"Background: The patterns of health- and home-care utilization among Belgian frail elderly persons living at home with varying socio-economic status are currently unknown. Methods: In this cross-sectional study based on a representative sample of 4777 elderly participants (epsilon 65 years) in the Belgian Health Interview Survey the prevalence of frailty, as determined by items referring to the Fried phenotype, was estimated according to age, gender, comorbidity, place of residence, survey year, living situation and socio-economic status. Differing health-care utilization [contacts with a general practitioner (GP), specialist and emergency department; and hospital admission) and home-care utilization (home nursing, home help and meals-on-wheels] patterns among the frail, prefrail and robust subpopulations were examined. Results: Overall, 9.3% respondents (426) were classified as frail, 30.7% (1636) as prefrail and 60.0% (2715) as robust. Frailty was associated with age, gender, comorbidity, region, survey year and socio-economic status. The frail and prefrail groups were more likely than the robust to contact a GP, a specialist or an emergency department and were more likely to be admitted to hospital, independent of age, gender, comorbidity, survey year, living situation, region and socio-economic status. They were also more likely to appeal to home nursing, home help and meals-on-wheels than the robust participants. Conclusion: Even after adjustment for potential confounders, including age, gender and comorbidity, frailty among Belgian elderly persons is associated with their socio-economic status and is strongly associated with their health- and home-care utilization.","container-title":"European Journal of Public Health","DOI":"10.1093/eurpub/ckr133","ISSN":"1101-1262","issue":"5","page":"671-677","title":"Health-care and home-care utilization among frail elderly persons in Belgium","volume":"22","author":[{"family":"Hoeck","given":"Sarah"},{"family":"Francois","given":"Guido"},{"family":"Geerts","given":"Joanna"},{"family":"Van der Heyden","given":"Johan"},{"family":"Vandewoude","given":"Maurits"},{"family":"Van Hal","given":"Guido"}],"issued":{"date-parts":[["2012",10]]}}}],"schema":"https://github.com/citation-style-language/schema/raw/master/csl-citation.json"}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[18]</w:t>
            </w:r>
            <w:r>
              <w:rPr>
                <w:rFonts w:ascii="Times New Roman" w:eastAsia="Times New Roman" w:hAnsi="Times New Roman"/>
                <w:color w:val="000000"/>
                <w:sz w:val="18"/>
                <w:szCs w:val="20"/>
                <w:lang w:eastAsia="fr-FR"/>
              </w:rPr>
              <w:fldChar w:fldCharType="end"/>
            </w:r>
          </w:p>
        </w:tc>
        <w:tc>
          <w:tcPr>
            <w:tcW w:w="174" w:type="pct"/>
            <w:tcBorders>
              <w:top w:val="nil"/>
              <w:left w:val="nil"/>
              <w:bottom w:val="single" w:sz="4" w:space="0" w:color="auto"/>
              <w:right w:val="single" w:sz="4" w:space="0" w:color="auto"/>
            </w:tcBorders>
            <w:shd w:val="clear" w:color="000000" w:fill="FFFFFF"/>
            <w:textDirection w:val="btLr"/>
            <w:vAlign w:val="center"/>
          </w:tcPr>
          <w:p w14:paraId="11233CC1"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vg9vxmFs","properties":{"formattedCitation":"[27]","plainCitation":"[27]","noteIndex":0},"citationItems":[{"id":"Tlgz5ME1/GHhOopBs","uris":["http://zotero.org/groups/2323309/items/QJV3BDZA"],"uri":["http://zotero.org/groups/2323309/items/QJV3BDZA"],"itemData":{"id":"Tlgz5ME1/GHhOopBs","type":"article-journal","abstract":"Background: Few studies have directly compared the competing approaches to identifying frailty in more vulnerable older populations. We examined the ability of two versions of a frailty index (43 vs. 83 items), the Cardiovascular Health Study (CHS) frailty criteria, and the CHESS scale to accurately predict the occurrence of three outcomes among Assisted Living (AL) residents followed over one year. Methods: The three frailty measures and the CHESS scale were derived from assessment items completed among 1,066 AL residents (aged 65+) participating in the Alberta Continuing Care Epidemiological Studies (ACCES). Adjusted risks of one-year mortality, hospitalization and long-term care placement were estimated for those categorized as frail or pre-frail compared with non-frail (or at high/intermediate vs. low risk on CHESS). The area under the ROC curve (AUC) was calculated for select models to assess the predictive accuracy of the different frailty measures and CHESS scale in relation to the three outcomes examined. Results: Frail subjects defined by the three approaches and those at high risk for decline on CHESS showed a statistically significant increased risk for death and long-term care placement compared with those categorized as either not frail or at low risk for decline. The risk estimates for hospitalization associated with the frailty measures and CHESS were generally weaker with one of the frailty indices (43 items) showing no significant association. For death and long-term care placement, the addition</w:instrText>
            </w:r>
            <w:r w:rsidRPr="008C0A90">
              <w:rPr>
                <w:rFonts w:ascii="Times New Roman" w:eastAsia="Times New Roman" w:hAnsi="Times New Roman"/>
                <w:color w:val="000000"/>
                <w:sz w:val="18"/>
                <w:szCs w:val="20"/>
                <w:lang w:val="en-US" w:eastAsia="fr-FR"/>
              </w:rPr>
              <w:instrText xml:space="preserve"> of frailty (however derived) or CHESS significantly improved on the AUC obtained with a model including only age, sex and co-morbidity, though the magnitude of improvement was sometimes small. The different frailty/risk models did not differ significantly from each other in predicting mortality or hospitalization; however, one of the frailty indices (83 items) showed significantly better performance over the other measures in predicting long-term care placement. Conclusions: Using different approaches, varying degrees of frailty were detected within the AL population. The various approaches to defining frailty were generally more similar than dissimilar with regard to predictive accuracy with some exceptions. The clinical implications and opportunities of detecting frailty in more vulnerable older adults require further investigation.","container-title":"BMC GERIATRICS","DOI":"10.1186/1471-2318-12-56","ISSN":"1471-2318","title":"Comparing frailty measures in their ability to predict adverse outcome among older residents of assisted living","volume":"12","author":[{"family":"Hogan","given":"David B."},{"family":"Freiheit","given":"Elizabeth A."},{"family":"Strain","given":"Laurel A."},{"family":"Patten","given":"Scott B."},{"family":"Schmaltz","given":"Heidi N."},{"family":"Rolfson","given":"Darryl"},{"family":"Maxwell","given":"Colleen J."}],"issued":{"date-parts":[["2012",9,14]]}}}],"schema":"https://github.com/citation-style-language/schema/raw/master/csl-citation.json"}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lang w:val="en-US"/>
              </w:rPr>
              <w:t>[27]</w:t>
            </w:r>
            <w:r>
              <w:rPr>
                <w:rFonts w:ascii="Times New Roman" w:eastAsia="Times New Roman" w:hAnsi="Times New Roman"/>
                <w:color w:val="000000"/>
                <w:sz w:val="18"/>
                <w:szCs w:val="20"/>
                <w:lang w:eastAsia="fr-FR"/>
              </w:rPr>
              <w:fldChar w:fldCharType="end"/>
            </w:r>
          </w:p>
        </w:tc>
        <w:tc>
          <w:tcPr>
            <w:tcW w:w="192" w:type="pct"/>
            <w:tcBorders>
              <w:top w:val="nil"/>
              <w:left w:val="nil"/>
              <w:bottom w:val="single" w:sz="4" w:space="0" w:color="auto"/>
              <w:right w:val="single" w:sz="4" w:space="0" w:color="auto"/>
            </w:tcBorders>
            <w:shd w:val="clear" w:color="000000" w:fill="FFFFFF"/>
            <w:textDirection w:val="btLr"/>
            <w:vAlign w:val="center"/>
          </w:tcPr>
          <w:p w14:paraId="0FDE7B8D"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F2YdYYKc","properties":{"formattedCitation":"[29]","plainCitation":"[29]","noteIndex":0},"citationItems":[{"id":"Tlgz5ME1/LXklAH6P","uris":["http://zotero.org/groups/2323309/items/3ZE4M3XF"],"uri":["http://zotero.org/groups/2323309/items/3ZE4M3XF"],"itemData":{"id":"Tlgz5ME1/LXklAH6P","type":"article-journal","abstract":"Frailty appears to develop earlier and is more severe in people with intellectual disabilities compared to the general population. The high prevalence of frailty may lead to an increase in care intensity and associated health care costs. Therefore a longitudinal observational study was conducted to determine the effect of frailty on care intensity. The association between frailty and care intensity at baseline and follow-up (3 years later) was assessed. Furthermore, the ability of the frailty index to predict an increase in care intensity after 3 years was evaluated. This study was part of the Dutch `Healthy aging and intellectual disabilities' (HA-ID) study. Frailty was measured at baseline with a frailty index that included 51 health-and age-related deficits. For all participants information on care intensity in seven steps was available, based on long term care indications under the Act on Exceptional Medical Expenses (AWBZ) - a law that finances specialized long-term care. 676 participants (50 years and over) with ID were included in the final analysis. In 26% of the participants, care intensity had increased during the follow-up period. Increased care during the follow-up was related to a high frailty index score at baseline, independent of gender, age, level of ID and the presence of Down syndrome (p = 0.003). After exclusion of ADL and IADL items, the frailty index remained significantly related with increasing care intensity during follow-up (p = 0.007). Our results underline that screening instruments for early detection of frailty and effective interventions are required to limit the burden of frailty for individuals and caregivers, but also to limit health care utilization. (C) 2014 Elsevier Ltd. All rights reserved.","container-title":"RESEARCH IN DEVELOPMENTAL DISABILITIES","DOI":"10.1016/j.ridd.2014.08.006","ISSN":"0891-4222","issue":"12","page":"3455-3461","title":"The impact of frailty on care intensity in older people with intellectual disabilities","volume":"35","author":[{"family":"Schoufour","given":"Josje D."},{"family":"Evenhuis","given":"Heleen M."},{"family":"Echteld","given":"Michael A."}],"issued":{"date-parts":[["2014",12]]}}}],"schema":"https://github.com/citation-style-language/schema/raw/master/csl-citation.json"}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[29]</w:t>
            </w:r>
            <w:r>
              <w:rPr>
                <w:rFonts w:ascii="Times New Roman" w:eastAsia="Times New Roman" w:hAnsi="Times New Roman"/>
                <w:color w:val="000000"/>
                <w:sz w:val="18"/>
                <w:szCs w:val="20"/>
                <w:lang w:val="en-US" w:eastAsia="fr-FR"/>
              </w:rPr>
              <w:fldChar w:fldCharType="end"/>
            </w:r>
          </w:p>
        </w:tc>
        <w:tc>
          <w:tcPr>
            <w:tcW w:w="174" w:type="pct"/>
            <w:tcBorders>
              <w:top w:val="nil"/>
              <w:left w:val="nil"/>
              <w:bottom w:val="single" w:sz="4" w:space="0" w:color="auto"/>
              <w:right w:val="single" w:sz="4" w:space="0" w:color="auto"/>
            </w:tcBorders>
            <w:shd w:val="clear" w:color="000000" w:fill="FFFFFF"/>
            <w:textDirection w:val="btLr"/>
            <w:vAlign w:val="center"/>
          </w:tcPr>
          <w:p w14:paraId="653695FB"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XWVk7SK5","properties":{"formattedCitation":"[20]","plainCitation":"[20]","noteIndex":0},"citationItems":[{"id":"Tlgz5ME1/en6C4HC8","uris":["http://zotero.org/groups/2323309/items/WXD6KH2R"],"uri":["http://zotero.org/groups/2323309/items/WXD6KH2R"],"itemData":{"id":"Tlgz5ME1/en6C4HC8","type":"article-journal","abstract":"Introduction: Sarcopenia is associated with an increased risk of adverse outcomes. The aim of this study was to explore the relationship between severity of sarcopenia and incident activities of daily living (ADL) disability, institutionalization, and all-cause mortality among community-dwelling older men participating in the Concord Health and Ageing in Men Project (CHAMP). Methods: Longitudinal analysis of 1705 participants aged 70 years or older at baseline (2005-2007) living in the community in Sydney, Australia. Measurements: The main outcome measures were incident ADL disability, institutionalization, and mortality. Of the 1705 participants who completed the baseline assessments, a total of 1678 men (mean age 77 years) had complete measures by dual-energy x-ray absorptiometry, to assess sarcopenia in terms of low appendicular lean mass (ALM), using the Foundation for the National Institutes of Health (FNIH) criteria. To differentiate between severity of sarcopenia we used low ALM alone (sarcopenia I), low ALM with weakness (sarcopenia II), and sarcopenia with weakness and poor gait speed (sarcopenia III). Cox proportional hazard models and logistic regression models were used to assess the risk of mortality and institutionalization, and incidence of ADL disability. Results: From baseline to follow-up, 103 (11.3%) men had incident ADL disability, 191 (11.2%) men were institutionalized, and 535 (31.9%) had died. At baseline, 14.2% had sarcopenia I, 5.3% had sarcopenia II, and 3.7% had sarcopenia III. Fully adjusted analysis (adjusted for demographics, lifestyle factors, comorbidities and health conditions, and blood measures) showed that sarcopenia I, II, and III were associated with increased risk of disability, institutionalization, and mortality. Associations between sarcopenia I, II, and III and risk of incident disability were as follows: odds ratio (OR) 2.77 95% confidence interval (CI) 1.30-5.87, OR 3.78 95% CI 1.23-11.64, and OR 4.53 95% CI 0.90-22.72; associations with institutionalization were hazard ratio (HR) 1.96 95% CI 1.14-3.35, HR 2.53 95% CI 1.31-4.90, and HR 2.27 95% CI 1.08-4.80; and with mortality were HR 1.65 95% CI 1.30-2.09, HR 1.50 95% CI 1.08-2.08, and HR 1.69 95% CI 1.17-2.44. Conclusions: This study shows that, in community-dwelling older men, sarcopenia defined by the FNIH criteria is associated with increased risk of incident disability, institutionalization, and mortality. (C) 2015 AMDA - The Society for Post-Acute and Long-Term Care Medicine.","container-title":"JOURNAL OF THE AMERICAN MEDICAL DIRECTORS ASSOCIATION","DOI":"10.1016/j.jamda.2015.02.006","ISSN":"1525-8610","issue":"7","page":"607-613","title":"Sarcopenia Is Associated With Incident Disability, Institutionalization, and Mortality in Community-Dwelling Older Men: The Concord Health and Ageing in Men Project","volume":"16","author":[{"family":"Hirani","given":"Vasant"},{"family":"Blyth","given":"Fiona"},{"family":"Naganathan","given":"Vasi"},{"family":"Le Couteur","given":"David G."},{"family":"Seibel","given":"Markus J."},{"family":"Waite","given":"Louise M."},{"family":"Handelsman","given":"David J."},{"family":"Cumming","given":"Robert G."}],"issued":{"date-parts":[["2015",7,1]]}}}],"schema":"https://github.com/citation-style-language/schema/raw/master/csl-citation.json"}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lang w:val="en-US"/>
              </w:rPr>
              <w:t>[20]</w:t>
            </w:r>
            <w:r>
              <w:rPr>
                <w:rFonts w:ascii="Times New Roman" w:eastAsia="Times New Roman" w:hAnsi="Times New Roman"/>
                <w:color w:val="000000"/>
                <w:sz w:val="18"/>
                <w:szCs w:val="20"/>
                <w:lang w:val="en-US" w:eastAsia="fr-FR"/>
              </w:rPr>
              <w:fldChar w:fldCharType="end"/>
            </w:r>
          </w:p>
        </w:tc>
        <w:tc>
          <w:tcPr>
            <w:tcW w:w="174" w:type="pct"/>
            <w:tcBorders>
              <w:top w:val="nil"/>
              <w:left w:val="nil"/>
              <w:bottom w:val="single" w:sz="4" w:space="0" w:color="auto"/>
              <w:right w:val="single" w:sz="4" w:space="0" w:color="auto"/>
            </w:tcBorders>
            <w:shd w:val="clear" w:color="000000" w:fill="FFFFFF"/>
            <w:textDirection w:val="btLr"/>
            <w:vAlign w:val="center"/>
          </w:tcPr>
          <w:p w14:paraId="7A249C24"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O45KFgk7","properties":{"formattedCitation":"[19]","plainCitation":"[19]","noteIndex":0},"citationItems":[{"id":"Tlgz5ME1/nA4YZCGC","uris":["http://zotero.org/groups/2323309/items/ACPQGRIR"],"uri":["http://zotero.org/groups/2323309/items/ACPQGRIR"],"itemData":{"id":"Tlgz5ME1/nA4YZCGC","type":"article-journal","abstract":"Background: Frailty is a dynamic process with transitions over time. Objectives: To examine frailty transitions and their relationship to utilization of health services. Methods: Frailty status using the Vulnerable Elders Survey (VES-13) was determined for 608 community-dwelling older people interviewed in a 2008 national survey and for 281 re-interviewed in 2014. The effect of frailty on death 6 years later was assessed using Cox proportional hazards analysis. Participants were divided into four groups based on their frailty transition. Demographic, functional and health characteristics were compared between the four groups using the Kruskal-Wallis and paired t-test. The independent association between the four frailty groups and health services utilization was assessed using logistic regression. Results: Between 2008 and 2014, 24% of 608 participants were lost to follow-up, 9% were non-frail, 37% were frail, and 30% died. The Cox ratio showed that 86% of the non-frail in 2008 were alive 6 years later vs. 52% of the frail (hazard ratio 3.5, confidence interval 2.2–5.4). Frailty transitions in the 281 participants interviewed at both time points revealed that 19% stayed non-frail, 22% became frail, 22% stayed frail and 37% became more frail. Becoming frail, staying frail or becoming more frail compared to staying non-frail was independently associated with a greater risk for requiring help on a regular basis, having a formal caregiver, and requiring home care. Conclusions: Any transition away from the non-frail state increased the use of health care services. Interventions to target early transition to frailty should be encouraged.","archive":"Embase","container-title":"Israel Medical Association Journal","ISSN":"1565-1088","issue":"8","journalAbbreviation":"Isr. Med. Assoc. J.","language":"English","page":"449-453","title":"Frailty transitions in community-dwelling older people","volume":"18","author":[{"literal":"Bentur N."},{"literal":"Sternberg S.A."},{"literal":"Shuldiner J."}],"issued":{"date-parts":[["2016"]]}}}],"schema":"https://github.com/citation-style-language/schema/raw/master/csl-citation.json"}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[19]</w:t>
            </w:r>
            <w:r>
              <w:rPr>
                <w:rFonts w:ascii="Times New Roman" w:eastAsia="Times New Roman" w:hAnsi="Times New Roman"/>
                <w:color w:val="000000"/>
                <w:sz w:val="18"/>
                <w:szCs w:val="20"/>
                <w:lang w:val="en-US" w:eastAsia="fr-FR"/>
              </w:rPr>
              <w:fldChar w:fldCharType="end"/>
            </w:r>
          </w:p>
        </w:tc>
        <w:tc>
          <w:tcPr>
            <w:tcW w:w="196" w:type="pct"/>
            <w:tcBorders>
              <w:top w:val="nil"/>
              <w:left w:val="nil"/>
              <w:bottom w:val="single" w:sz="4" w:space="0" w:color="auto"/>
              <w:right w:val="single" w:sz="4" w:space="0" w:color="auto"/>
            </w:tcBorders>
            <w:shd w:val="clear" w:color="000000" w:fill="FFFFFF"/>
            <w:textDirection w:val="btLr"/>
            <w:vAlign w:val="center"/>
          </w:tcPr>
          <w:p w14:paraId="698708BD"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i0iH31k2","properties":{"formattedCitation":"[21]","plainCitation":"[21]","noteIndex":0},"citationItems":[{"id":"Tlgz5ME1/r7trlIAN","uris":["http://zotero.org/groups/2323309/items/BQWGYLBA"],"uri":["http://zotero.org/groups/2323309/items/BQWGYLBA"],"itemData":{"id":"Tlgz5ME1/r7trlIAN","type":"article-journal","abstract":"The concept of frailty is rapidly gaining attention as an independent syndrome with high prevalence in older adults. Thereby, frailty is often related to certain adverse outcomes like mortality or disability. Another adverse outcome discussed is increased health care utilization. However, only few studies examined the impact of frailty on health care utilization and corresponding costs. The aim of this study was therefore to investigate comprehensively the relationship between frailty, health care utilization and costs.","container-title":"BMC Health Services Research","DOI":"10.1186/s12913-016-1360-3","ISSN":"1472-6963","issue":"1","journalAbbreviation":"BMC Health Services Research","page":"128","source":"BioMed Central","title":"Associations of frailty with health care costs – results of the ESTHER cohort study","volume":"16","author":[{"family":"Bock","given":"Jens-Oliver"},{"family":"König","given":"Hans-Helmut"},{"family":"Brenner","given":"Hermann"},{"family":"Haefeli","given":"Walter E."},{"family":"Quinzler","given":"Renate"},{"family":"Matschinger","given":"Herbert"},{"family":"Saum","given":"Kai-Uwe"},{"family":"Schöttker","given":"Ben"},{"family":"Heider","given":"Dirk"}],"issued":{"date-parts":[["2016",4,14]]}}}],"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[21]</w:t>
            </w:r>
            <w:r>
              <w:rPr>
                <w:rFonts w:ascii="Times New Roman" w:eastAsia="Times New Roman" w:hAnsi="Times New Roman"/>
                <w:color w:val="000000"/>
                <w:sz w:val="18"/>
                <w:szCs w:val="20"/>
                <w:lang w:val="en-US" w:eastAsia="fr-FR"/>
              </w:rPr>
              <w:fldChar w:fldCharType="end"/>
            </w:r>
          </w:p>
        </w:tc>
        <w:tc>
          <w:tcPr>
            <w:tcW w:w="231" w:type="pct"/>
            <w:tcBorders>
              <w:top w:val="nil"/>
              <w:left w:val="nil"/>
              <w:bottom w:val="single" w:sz="4" w:space="0" w:color="auto"/>
              <w:right w:val="single" w:sz="4" w:space="0" w:color="auto"/>
            </w:tcBorders>
            <w:shd w:val="clear" w:color="000000" w:fill="FFFFFF"/>
            <w:textDirection w:val="btLr"/>
            <w:vAlign w:val="center"/>
          </w:tcPr>
          <w:p w14:paraId="7C6717A5"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IwEmVhIi","properties":{"formattedCitation":"[30]","plainCitation":"[30]","noteIndex":0},"citationItems":[{"id":"Tlgz5ME1/gPbw0VcX","uris":["http://zotero.org/groups/2323309/items/E7PBGZVI"],"uri":["http://zotero.org/groups/2323309/items/E7PBGZVI"],"itemData":{"id":"Tlgz5ME1/gPbw0VcX","type":"article-journal","abstract":"ObjectivesDementia draws on a variety of public and private resources. There is increasing pressure to define the cost components in this area to improve resource allocation and accountability. The aim of this study was to characterize frailty in a group of cognitively impaired community-dwelling elders and evaluate its relationship with cost and resource utilization. MethodsWe assessed a cross-sectional, convenient sample of 115 cognitively impaired patients of age &gt;55years who attended the National Memory Clinic in St James' University Hospital, a Trinity College-affiliated hospital in Dublin, Ireland. Participants had a clinical diagnosis of possible Alzheimer's disease or mild cognitive impairment. Frailty was measured using the biological syndrome model. Formal health and social care costs and daily informal caregiving costs were collected and the total costs of care estimated by applying the appropriate unit cost estimate for each resource activity. Stepwise regression models were constructed to establish the factors associated with increased care costs. ResultsPatient dependence, frailty and number of co-morbid illnesses explained 43.3% of the variance in observed daily informal care costs in dementia and cognitively impaired patients. Dependence was the sole factor retained in an optimal model explaining 19% of the variance in formal health and social care costs. ConclusionFrailty retained a strong association with daily informal care costs even in the context of other known risk factors for increasing care costs. Interventions that reduce frailty as well as patient dependence on others may be associated with cost savings. Copyright (c) 2015 John Wiley &amp; Sons, Ltd.","container-title":"INTERNATIONAL JOURNAL OF GERIATRIC PSYCHIATRY","DOI":"10.1002/gps.4306","ISSN":"0885-6230","issue":"2","page":"161-168","title":"Frailty: a costly phenomenon in caring for elders with cognitive impairment","volume":"31","author":[{"family":"Butler","given":"Aine"},{"family":"Gallagher","given":"Damien"},{"family":"Gillespie","given":"Paddy"},{"family":"Crosby","given":"Lisa"},{"family":"Ryan","given":"Deirdre"},{"family":"Lacey","given":"Loretto"},{"family":"Coen","given":"Robert"},{"family":"O'Shea","given":"Eamon"},{"family":"Lawlor","given":"Brian"}],"issued":{"date-parts":[["2016",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[30]</w:t>
            </w:r>
            <w:r>
              <w:rPr>
                <w:rFonts w:ascii="Times New Roman" w:eastAsia="Times New Roman" w:hAnsi="Times New Roman"/>
                <w:color w:val="000000"/>
                <w:sz w:val="18"/>
                <w:szCs w:val="20"/>
                <w:lang w:val="en-US" w:eastAsia="fr-FR"/>
              </w:rPr>
              <w:fldChar w:fldCharType="end"/>
            </w:r>
          </w:p>
        </w:tc>
        <w:tc>
          <w:tcPr>
            <w:tcW w:w="229" w:type="pct"/>
            <w:tcBorders>
              <w:top w:val="nil"/>
              <w:left w:val="nil"/>
              <w:bottom w:val="single" w:sz="4" w:space="0" w:color="auto"/>
              <w:right w:val="single" w:sz="4" w:space="0" w:color="auto"/>
            </w:tcBorders>
            <w:shd w:val="clear" w:color="000000" w:fill="FFFFFF"/>
            <w:textDirection w:val="btLr"/>
            <w:vAlign w:val="center"/>
          </w:tcPr>
          <w:p w14:paraId="1A02FEBE"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oYCUZSUt","properties":{"formattedCitation":"[28]","plainCitation":"[28]","noteIndex":0},"citationItems":[{"id":"Tlgz5ME1/Cje3Gphi","uris":["http://zotero.org/groups/2323309/items/FCY6SQWP"],"uri":["http://zotero.org/groups/2323309/items/FCY6SQWP"],"itemData":{"id":"Tlgz5ME1/Cje3Gphi","type":"article-journal","abstract":"Background: Evaluating different approaches to identifying frail home care clients at heightened risk for adverse health outcomes is an important but understudied area. Our objectives were to determine the prevalence and correlates of frailty (as operationally defined by three measures) in a home care cohort, the agreement between these measures, and their predictive validity for several outcomes assessed over one year. Methods: We conducted a retrospective cohort study with linked population-based administrative and clinical (Resident Assessment Instrument [RAI]) data for all long-stay home care clients (aged 66+) assessed between April 2010-2013 in Ontario, Canada (n = 234,552). We examined two versions of a frailty index (FI), a full and modified FI, and the CHESS scale, compared their baseline characteristics and their predictive accuracy (by calculating the area under the ROC curve [AUC]) for death, long-term care (LTC) admission, and hospitalization endpoints in models adjusted for age, sex and comorbidity. Results: Frailty prevalence varied by measure (19.5, 24.4 and 44.1 %, for full FI, modified FI and CHESS, respectively) and was similar among female and male clients. All three measures were associated with a significantly increased risk of death, LTC admission and hospitalization endpoints in adjusted analyses but their addition to base models resulted in modest improvement for most AUC estimates. There were significant differences between measures in predictive accuracy, with the full FI demonstrating a higher AUC for LTC admission and CHESS a higher AUC for hospitalization - although none of the measures performed well for the hospitalization endpoints. Conclusions: The different approaches to detecting vulnerability resulted in different estimates of frailty prevalence among home care clients in Ontario. Although all three measures were significant predictors of the health outcomes examined, the gains in predictive accuracy were often modest with the exception of the full FI in predicting LTC admission. Our findings provide some support for the clinical utility of a comprehensive FI measure and also illustrate that it is feasible to derive such a measure at the population level using routinely collected data. This may facilitate further research on frailty in this setting, including the development and evaluation of interventions for frailty.","container-title":"BMC GERIATRICS","DOI":"10.1186/s12877-016-0309-z","ISSN":"1471-2318","title":"The prevalence and health consequences of frailty in a population-based older home care cohort: a comparison of different measures","volume":"16","author":[{"family":"Campitelli","given":"Michael A."},{"family":"Bronskill","given":"Susan E."},{"family":"Hogan","given":"David B."},{"family":"Diong","given":"Christina"},{"family":"Amuah","given":"Joseph E."},{"family":"Gill","given":"Sudeep"},{"family":"Seitz","given":"Dallas"},{"family":"Thavorn","given":"Kednapa"},{"family":"Wodchis","given":"Walter P."},{"family":"Maxwell","given":"Colleen J."}],"issued":{"date-parts":[["2016",7,7]]}}}],"schema":"https://github.com/citation-style-language/schema/raw/master/csl-citation.json"}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lang w:val="en-US"/>
              </w:rPr>
              <w:t>[28]</w:t>
            </w:r>
            <w:r>
              <w:rPr>
                <w:rFonts w:ascii="Times New Roman" w:eastAsia="Times New Roman" w:hAnsi="Times New Roman"/>
                <w:color w:val="000000"/>
                <w:sz w:val="18"/>
                <w:szCs w:val="20"/>
                <w:lang w:val="en-US" w:eastAsia="fr-FR"/>
              </w:rPr>
              <w:fldChar w:fldCharType="end"/>
            </w:r>
          </w:p>
        </w:tc>
        <w:tc>
          <w:tcPr>
            <w:tcW w:w="266" w:type="pct"/>
            <w:tcBorders>
              <w:top w:val="nil"/>
              <w:left w:val="nil"/>
              <w:bottom w:val="single" w:sz="4" w:space="0" w:color="auto"/>
              <w:right w:val="single" w:sz="4" w:space="0" w:color="auto"/>
            </w:tcBorders>
            <w:shd w:val="clear" w:color="000000" w:fill="FFFFFF"/>
            <w:textDirection w:val="btLr"/>
            <w:vAlign w:val="center"/>
          </w:tcPr>
          <w:p w14:paraId="7FF384C7"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MbTw8qNF","properties":{"formattedCitation":"[31]","plainCitation":"[31]","noteIndex":0},"citationItems":[{"id":"Tlgz5ME1/VOzqoHYm","uris":["http://zotero.org/groups/2323309/items/3F3VBBQA"],"uri":["http://zotero.org/groups/2323309/items/3F3VBBQA"],"itemData":{"id":"Tlgz5ME1/VOzqoHYm","type":"article-journal","abstract":"AbstractBackground. .  The identification of an objective evaluation of frailty capable of predicting adverse outcomes in Alzheimer’s disease is increasingly di","container-title":"The Journals of Gerontology: Series A","DOI":"10.1093/gerona/glv137","ISSN":"1079-5006","issue":"4","journalAbbreviation":"J Gerontol A Biol Sci Med Sci","language":"en","page":"543-548","source":"academic.oup.com","title":"Frailty Index and Incident Mortality, Hospitalization, and Institutionalization in Alzheimer’s Disease: Data From the ICTUS Study","title-short":"Frailty Index and Incident Mortality, Hospitalization, and Institutionalization in Alzheimer’s Disease","volume":"71","author":[{"family":"Kelaiditi","given":"Eirini"},{"family":"Andrieu","given":"Sandrine"},{"family":"Cantet","given":"Christelle"},{"family":"Vellas","given":"Bruno"},{"family":"Cesari","given":"Matteo"}],"issued":{"date-parts":[["2016",4,1]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[31]</w:t>
            </w:r>
            <w:r>
              <w:rPr>
                <w:rFonts w:ascii="Times New Roman" w:eastAsia="Times New Roman" w:hAnsi="Times New Roman"/>
                <w:color w:val="000000"/>
                <w:sz w:val="18"/>
                <w:szCs w:val="20"/>
                <w:lang w:val="en-US" w:eastAsia="fr-FR"/>
              </w:rPr>
              <w:fldChar w:fldCharType="end"/>
            </w:r>
          </w:p>
        </w:tc>
        <w:tc>
          <w:tcPr>
            <w:tcW w:w="266" w:type="pct"/>
            <w:tcBorders>
              <w:top w:val="nil"/>
              <w:left w:val="nil"/>
              <w:bottom w:val="single" w:sz="4" w:space="0" w:color="auto"/>
              <w:right w:val="single" w:sz="4" w:space="0" w:color="auto"/>
            </w:tcBorders>
            <w:shd w:val="clear" w:color="000000" w:fill="FFFFFF"/>
            <w:textDirection w:val="btLr"/>
            <w:vAlign w:val="center"/>
          </w:tcPr>
          <w:p w14:paraId="3C39CA9E"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y0vyDkTZ","properties":{"formattedCitation":"[22]","plainCitation":"[22]","noteIndex":0},"citationItems":[{"id":"Tlgz5ME1/KOzpAbQu","uris":["http://zotero.org/groups/2323309/items/FRMGSS2W"],"uri":["http://zotero.org/groups/2323309/items/FRMGSS2W"],"itemData":{"id":"Tlgz5ME1/KOzpAbQu","type":"article-journal","abstract":"Background\nDespite several attempts to reach a single definition of frailty, no consensus has been reached. The definitions previously published have tried to prove its utility in predicting negative health outcomes. The objective of the present study is to compare the predictive value of 3 different frailty instruments, for selected outcomes.\nMethods\nThe study sample includes 1278 participants of the Three-City study, a French prospective population-based study, assessed for frailty using Fried's phenotype criteria, Rockwood's Frailty Index and Tilburg Frailty Indicator. To assess the risk of mortality, incident disability, falls, institutionalization and hospitalization for a follow up period of 12 years, Cox proportional hazard models with delayed entry have been used. The area under the time-dependent ROC curve has been used to estimate and compare the ability of the three instruments of frailty to predict the previous adverse outcomes at 12 years.\nResults\nFive hundred ninety four participants were identified as non-robust with Fried's criteria; 169 with Rockwood's FI and 303 with TFI. The three scales consistently identified 91 participants as non-robust and 574 as robust. Rockwood's FI was a statistically significant predictor of mortality, incident disability and falls, and a strong predictor of hospitalization.\nConclusion\nIn the absence of a “gold standard” definition of frailty, a debate on what measures and how to include them is open. A clue may be that one should select the appropriate definition according to the to-be predicted outcome, the setting and the underlying etiology of frailty.","container-title":"Archives of Gerontology and Geriatrics","DOI":"10.1016/j.archger.2017.06.005","ISSN":"0167-4943","journalAbbreviation":"Archives of Gerontology and Geriatrics","page":"153-163","source":"ScienceDirect","title":"Comparing the predictive value of three definitions of frailty: Results from the Three-City study.","title-short":"Comparing the predictive value of three definitions of frailty","volume":"72","author":[{"family":"Gonzalez-Colaço Harmand","given":"Magali"},{"family":"Meillon","given":"Céline"},{"family":"Bergua","given":"Valérie"},{"family":"Tabue Teguo","given":"Maturin"},{"family":"Dartigues","given":"Jean-François"},{"family":"Avila-Funes","given":"José Alberto"},{"family":"Amieva","given":"Hélène"}],"issued":{"date-parts":[["2017",9,1]]}}}],"schema":"https://github.com/citation-style-language/schema/raw/master/csl-citation.json"}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[22]</w:t>
            </w:r>
            <w:r>
              <w:rPr>
                <w:rFonts w:ascii="Times New Roman" w:eastAsia="Times New Roman" w:hAnsi="Times New Roman"/>
                <w:color w:val="000000"/>
                <w:sz w:val="18"/>
                <w:szCs w:val="20"/>
                <w:lang w:val="en-US" w:eastAsia="fr-FR"/>
              </w:rPr>
              <w:fldChar w:fldCharType="end"/>
            </w:r>
          </w:p>
        </w:tc>
        <w:tc>
          <w:tcPr>
            <w:tcW w:w="333" w:type="pct"/>
            <w:tcBorders>
              <w:top w:val="nil"/>
              <w:left w:val="nil"/>
              <w:bottom w:val="single" w:sz="4" w:space="0" w:color="auto"/>
              <w:right w:val="single" w:sz="4" w:space="0" w:color="auto"/>
            </w:tcBorders>
            <w:shd w:val="clear" w:color="auto" w:fill="auto"/>
            <w:textDirection w:val="btLr"/>
            <w:vAlign w:val="center"/>
          </w:tcPr>
          <w:p w14:paraId="101EE0D9"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tDLnP3pA","properties":{"formattedCitation":"[23]","plainCitation":"[23]","noteIndex":0},"citationItems":[{"id":"Tlgz5ME1/qVuImVNC","uris":["http://zotero.org/groups/2323309/items/DY2KLTX2"],"uri":["http://zotero.org/groups/2323309/items/DY2KLTX2"],"itemData":{"id":"Tlgz5ME1/qVuImVNC","type":"article-journal","abstract":"BACKGROUND: Frailty is a strong indicator of vulnerability among older persons, but its association with ICU outcomes has not been evaluated prospectively (ie, with objectivemeasurements obtained prior to ICU admission). Our objective was to prospectively evaluate the relationship between frailty and post-ICU disability, incident nursing home admission, and death. METHODS: The parent cohort included 754 adults aged &gt;= 70 years, who were evaluated monthly for disability in 13 functional activities and every 18 months for frailty (1998-2014). Frailty was assessed using the Fried index, where frailty, prefrailty, and nonfrailty were defined, respectively, as at least three, one or two, and zero criteria (of five). The analytic sample included 391 ICU admissions. RESULTS: The mean age was 84.0 years. Frailty and prefrailty were present prior to 213 (54.5%) and 140 (35.8%) of the 391 admissions, respectively. Relative to nonfrailty, frailty was associated with 41% greater disability over the 6 months following a critical illness (adjusted risk ratio, 1.41; 95% CI, 1.12-1.78); prefrailty conferred 28% greater disability (adjusted risk ratio, 1.28; 95% CI, 1.01-1.63). Frailty (odds ratio, 3.52; 95% CI, 1.23-10.08), but not prefrailty (odds ratio, 2.01; 95% CI, 0.77-5.24), was associated with increased nursing home admission. Each one-point increase in frailty count (range, 0-5) was associated with double the likelihood of death (hazard ratio, 2.00; 95% CI, 1.33-3.00) through 6 months of follow-up. CONCLUSIONS: Pre-ICU frailty status was associated with increased post-ICU disability and new nursing home admission among ICU survivors, and death among all admissions. Pre-ICU frailty status may provide prognostic information about outcomes after a critical illness.","container-title":"Chest","DOI":"10.1016/j.chest.2018.03.007","ISSN":"0012-3692","issue":"6","page":"1378-1386","title":"The Association of Frailty With Post-ICU Disability, Nursing Home Admission, and Mortality A Longitudinal Study","volume":"153","author":[{"family":"Ferrante","given":"Lauren E."},{"family":"Pisani","given":"Margaret A."},{"family":"Murphy","given":"Terrence E."},{"family":"Gahbauer","given":"Evelyne A."},{"family":"Leo-Summers","given":"Linda S."},{"family":"Gill","given":"Thomas M."}],"issued":{"date-parts":[["2018",6]]}}}],"schema":"https://github.com/citation-style-language/schema/raw/master/csl-citation.json"}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[23]</w:t>
            </w:r>
            <w:r>
              <w:rPr>
                <w:rFonts w:ascii="Times New Roman" w:eastAsia="Times New Roman" w:hAnsi="Times New Roman"/>
                <w:color w:val="000000"/>
                <w:sz w:val="18"/>
                <w:szCs w:val="20"/>
                <w:lang w:val="en-US" w:eastAsia="fr-FR"/>
              </w:rPr>
              <w:fldChar w:fldCharType="end"/>
            </w:r>
          </w:p>
        </w:tc>
        <w:tc>
          <w:tcPr>
            <w:tcW w:w="197" w:type="pct"/>
            <w:tcBorders>
              <w:top w:val="nil"/>
              <w:left w:val="nil"/>
              <w:bottom w:val="single" w:sz="4" w:space="0" w:color="auto"/>
              <w:right w:val="single" w:sz="4" w:space="0" w:color="auto"/>
            </w:tcBorders>
            <w:shd w:val="clear" w:color="auto" w:fill="auto"/>
            <w:textDirection w:val="btLr"/>
            <w:vAlign w:val="center"/>
          </w:tcPr>
          <w:p w14:paraId="0BA4A952"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cj8BxwUa","properties":{"formattedCitation":"[24]","plainCitation":"[24]","noteIndex":0},"citationItems":[{"id":"Tlgz5ME1/jIgbjt3N","uris":["http://zotero.org/groups/2323309/items/WKK5RUW4"],"uri":["http://zotero.org/groups/2323309/items/WKK5RUW4"],"itemData":{"id":"Tlgz5ME1/jIgbjt3N","type":"article-journal","abstract":"Objective: to investigate how frailty and frailty symptoms affect healthcare costs in older age longitudinally. Methods: data were gathered from a prospective cohort study in Saarland, Germany (two waves with 3-year interval, n = 1,636 aged 57-84 years at baseline). Frailty was assessed by the five Fried frailty criteria. Frailty was defined as having at least three criteria, the presence of 1-2 criteria as `pre-frail'. Healthcare costs were quantified based on self-reported healthcare use in the sectors of inpatient treatment, outpatient treatment, professional nursing care and informal care as well as the provision of pharmaceuticals, medical supplies and dental prostheses. Results: while the onset of pre-frailty did not increase (log) total healthcare costs after adjusting for potential confounders including comorbidity, progression from non-frailty to frailty was associated with an increase in total healthcare costs (for example, costs increased by similar to 54 and 101% if 3 and 4 or 5 symptoms were present, respectively). This association of frailty onset with increased healthcare costs was in particular observed in the inpatient sector and for informal nursing care. Among the frailty symptoms, the onset of exhaustion was associated with an increase in total healthcare costs, whereas changes in slowness, weakness, weight loss and low-physical activity were not significantly associated with an increase in total healthcare costs. Conclusions: our data stress the economic relevance of frailty in late life. Postponing or reducing frailty might be fruitful in order to reduce healthcare costs.","container-title":"Age and Ageing","DOI":"10.1093/ageing/afx157","ISSN":"0002-0729","issue":"2","page":"233-241","title":"Frailty and healthcare costs-longitudinal results of a prospective cohort study","volume":"47","author":[{"family":"Hajek","given":"Andre"},{"family":"Bock","given":"Jens-Oliver"},{"family":"Saum","given":"Kai-Uwe"},{"family":"Matschinger","given":"Herbert"},{"family":"Brenner","given":"Hermann"},{"family":"Holleczek","given":"Bernd"},{"family":"Haefeli","given":"Walter E."},{"family":"Heider","given":"Dirk"},{"family":"Koenig","given":"Hans-Helmut"}],"issued":{"date-parts":[["2018",3]]}}}],"schema":"https://github.com/citation-style-language/schema/raw/master/csl-citation.json"}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[24]</w:t>
            </w:r>
            <w:r>
              <w:rPr>
                <w:rFonts w:ascii="Times New Roman" w:eastAsia="Times New Roman" w:hAnsi="Times New Roman"/>
                <w:color w:val="000000"/>
                <w:sz w:val="18"/>
                <w:szCs w:val="20"/>
                <w:lang w:val="en-US" w:eastAsia="fr-FR"/>
              </w:rPr>
              <w:fldChar w:fldCharType="end"/>
            </w:r>
          </w:p>
        </w:tc>
        <w:tc>
          <w:tcPr>
            <w:tcW w:w="231" w:type="pct"/>
            <w:tcBorders>
              <w:top w:val="nil"/>
              <w:left w:val="nil"/>
              <w:bottom w:val="single" w:sz="4" w:space="0" w:color="auto"/>
              <w:right w:val="single" w:sz="4" w:space="0" w:color="auto"/>
            </w:tcBorders>
            <w:shd w:val="clear" w:color="auto" w:fill="auto"/>
            <w:textDirection w:val="btLr"/>
            <w:vAlign w:val="center"/>
          </w:tcPr>
          <w:p w14:paraId="47006304" w14:textId="77777777" w:rsidR="00EE4BF0" w:rsidRPr="00E85D55" w:rsidRDefault="00EE4BF0" w:rsidP="007D1DAE">
            <w:pPr>
              <w:spacing w:after="0" w:line="240" w:lineRule="auto"/>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b7PlVdov","properties":{"formattedCitation":"[25]","plainCitation":"[25]","noteIndex":0},"citationItems":[{"id":"Tlgz5ME1/w8zQzNF6","uris":["http://zotero.org/groups/2323309/items/KM7X4SHD"],"uri":["http://zotero.org/groups/2323309/items/KM7X4SHD"],"itemData":{"id":"Tlgz5ME1/w8zQzNF6","type":"article-journal","abstract":"Objectives: This study examines different combinations of informal and formal care use of older adults and investigates whether these combinations differ in terms of need for care (physical and psychological frailty) and enabling factors for informal and formal care use (social and environmental frailty). Methods: Using cross-sectional data from the Belgian Ageing Studies (survey, N = 38,066 community-dwelling older adults), Latent Class Analysis (LCA) is used to identify combinations of informal and formal care use. Bivariate analyses are used to explore the relationship between the different combinations of care use and frailty. Results: Latent Class Analysis (LCA) identified 8 different types of care use, which vary in combinations of informal and formal caregivers. Older adults who are more likely to combine care from family and care from all types of formal caregivers are more physically, psychologically and environmentally frail than expected. Older adults who are more likely to receive care only from nuclear family, or only from formal caregivers are more socially frail than expected. Conclusions: Older adults with a higher need for care are more likely to receive care from different types of informal and formal caregivers. High environmental frailty and low social frailty are related with the use of care from different types of informal and formal caregivers. This study confirms that informal care can act as substitute for formal care. However, this substitute relationship becomes a complementary relationship in frail older adults. Policymakers should take into account that frailty in older adults affects the use of informal and formal care.","container-title":"ARCHIVES OF GERONTOLOGY AND GERIATRICS","DOI":"10.1016/j.archger.2018.05.018","ISSN":"0167-4943","page":"69-77","title":"Frailty differences in older adults' use of informal and formal care","volume":"79","author":[{"family":"Lambotte","given":"Deborah"},{"family":"De Donder","given":"Liesbeth"},{"family":"Van Regenmortel","given":"Sofie"},{"family":"Fret","given":"Bram"},{"family":"Dury","given":"Sarah"},{"family":"Smetcoren","given":"An-Sofie"},{"family":"Dierckx","given":"Eva"},{"family":"De Witte","given":"Nico"},{"family":"Verte","given":"Dominique"},{"family":"Kardol","given":"Martinus J. M."},{"family":"Consortium","given":"D.-SCOPE"}],"issued":{"date-parts":[["2018",12]]}}}],"schema":"https://github.com/citation-style-language/schema/raw/master/csl-citation.json"}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[25]</w:t>
            </w:r>
            <w:r>
              <w:rPr>
                <w:rFonts w:ascii="Times New Roman" w:eastAsia="Times New Roman" w:hAnsi="Times New Roman"/>
                <w:color w:val="000000"/>
                <w:sz w:val="18"/>
                <w:szCs w:val="20"/>
                <w:lang w:val="en-US" w:eastAsia="fr-FR"/>
              </w:rPr>
              <w:fldChar w:fldCharType="end"/>
            </w:r>
          </w:p>
        </w:tc>
        <w:tc>
          <w:tcPr>
            <w:tcW w:w="265" w:type="pct"/>
            <w:tcBorders>
              <w:top w:val="nil"/>
              <w:left w:val="nil"/>
              <w:bottom w:val="single" w:sz="4" w:space="0" w:color="auto"/>
              <w:right w:val="single" w:sz="4" w:space="0" w:color="auto"/>
            </w:tcBorders>
            <w:shd w:val="clear" w:color="auto" w:fill="auto"/>
            <w:textDirection w:val="btLr"/>
            <w:vAlign w:val="center"/>
          </w:tcPr>
          <w:p w14:paraId="74E35B14" w14:textId="77777777" w:rsidR="00EE4BF0" w:rsidRPr="00E85D55" w:rsidRDefault="00EE4BF0" w:rsidP="007D1DAE">
            <w:pPr>
              <w:spacing w:after="0" w:line="240" w:lineRule="auto"/>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efCcZq3O","properties":{"formattedCitation":"[26]","plainCitation":"[26]","noteIndex":0},"citationItems":[{"id":"Tlgz5ME1/rEvRhjP6","uris":["http://zotero.org/groups/2323309/items/2UZ657EB"],"uri":["http://zotero.org/groups/2323309/items/2UZ657EB"],"itemData":{"id":"Tlgz5ME1/rEvRhjP6","type":"article-journal","abstract":"The growth in the numbers of older adults needing long-term care has resulted in rising costs which have forced the Dutch government to change its long-term care system. Now, the local authorities have greater responsibility for supporting older adults and in prolonging independent living with increased support provided by the social network. However, it is unclear whether these older adults have such a network to rely upon. The objective of this study was to gain insight into the providers of formal and informal care to older adults, and to assess possible differences between older adults who are frail and those who are not. In addition, we investigated their care and support needs. We used data from a quantitative survey using a cross-sectional design in different regions of the Netherlands from July until September 2014 (n=181). Frailty was measured using the Tilburg Frailty indicator. To analyse the data chi-square tests, crosstabs and odds ratios were used for dichotomous data and the Mann-Whitney U-Test for nominal data. The number of formal care providers involved was significantly higher (median=2) for those deemed frail than for those not deemed frail (median=1), U=2,130, p&lt;.005. However, more than one-third of the respondents deemed frail did not get the care or support they needed (33.7%). There was a significant positive association between being frail and having an informal care provider ((2)=18.78, df=1, p&lt;.005). However, more than one-third of those deemed frail did not have an informal care provider (36.8%). One-third of older adults deemed to be frail did not have their needs sufficiently addressed by their care network. For a substantial part of this group of older adults, the informal network seems to be unable to support them sufficiently. Additional attention for their needs and wishes is required to implement the policy reforms successfully.","container-title":"Health &amp; Social Care in the Community","DOI":"10.1111/hsc.12539","ISSN":"0966-0410","issue":"3","page":"e404-e414","title":"Care and support for older adults in The Netherlands living independently","volume":"26","author":[{"family":"Verver","given":"Didi"},{"family":"Merten","given":"Hanneke"},{"family":"Robben","given":"Paul"},{"family":"Wagner","given":"Cordula"}],"issued":{"date-parts":[["2018",5]]}}}],"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[26]</w:t>
            </w:r>
            <w:r>
              <w:rPr>
                <w:rFonts w:ascii="Times New Roman" w:eastAsia="Times New Roman" w:hAnsi="Times New Roman"/>
                <w:color w:val="000000"/>
                <w:sz w:val="18"/>
                <w:szCs w:val="20"/>
                <w:lang w:val="en-US" w:eastAsia="fr-FR"/>
              </w:rPr>
              <w:fldChar w:fldCharType="end"/>
            </w:r>
          </w:p>
        </w:tc>
        <w:tc>
          <w:tcPr>
            <w:tcW w:w="290" w:type="pct"/>
            <w:tcBorders>
              <w:top w:val="nil"/>
              <w:left w:val="nil"/>
              <w:bottom w:val="single" w:sz="4" w:space="0" w:color="auto"/>
              <w:right w:val="single" w:sz="4" w:space="0" w:color="auto"/>
            </w:tcBorders>
            <w:textDirection w:val="btLr"/>
          </w:tcPr>
          <w:p w14:paraId="512A0B2C" w14:textId="77777777" w:rsidR="00EE4BF0" w:rsidRPr="00E85D55" w:rsidRDefault="00EE4BF0" w:rsidP="007D1DAE">
            <w:pPr>
              <w:spacing w:after="0" w:line="240" w:lineRule="auto"/>
              <w:jc w:val="center"/>
              <w:rPr>
                <w:rFonts w:ascii="Times New Roman" w:eastAsia="Times New Roman" w:hAnsi="Times New Roman"/>
                <w:color w:val="000000"/>
                <w:sz w:val="20"/>
                <w:szCs w:val="20"/>
                <w:lang w:val="en-US" w:eastAsia="fr-FR"/>
              </w:rPr>
            </w:pPr>
          </w:p>
        </w:tc>
      </w:tr>
      <w:tr w:rsidR="00EE4BF0" w:rsidRPr="00E85D55" w14:paraId="42352A13" w14:textId="77777777" w:rsidTr="007D1DAE">
        <w:trPr>
          <w:trHeight w:val="827"/>
        </w:trPr>
        <w:tc>
          <w:tcPr>
            <w:tcW w:w="106" w:type="pct"/>
            <w:tcBorders>
              <w:top w:val="nil"/>
              <w:left w:val="single" w:sz="4" w:space="0" w:color="auto"/>
              <w:bottom w:val="single" w:sz="4" w:space="0" w:color="auto"/>
              <w:right w:val="single" w:sz="4" w:space="0" w:color="auto"/>
            </w:tcBorders>
            <w:shd w:val="clear" w:color="000000" w:fill="F2F2F2"/>
            <w:noWrap/>
            <w:vAlign w:val="center"/>
            <w:hideMark/>
          </w:tcPr>
          <w:p w14:paraId="4BF92DC6"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color w:val="000000"/>
                <w:sz w:val="20"/>
                <w:szCs w:val="20"/>
              </w:rPr>
              <w:t> </w:t>
            </w:r>
          </w:p>
        </w:tc>
        <w:tc>
          <w:tcPr>
            <w:tcW w:w="882" w:type="pct"/>
            <w:tcBorders>
              <w:top w:val="nil"/>
              <w:left w:val="nil"/>
              <w:bottom w:val="single" w:sz="4" w:space="0" w:color="auto"/>
              <w:right w:val="single" w:sz="4" w:space="0" w:color="auto"/>
            </w:tcBorders>
            <w:shd w:val="clear" w:color="000000" w:fill="F2F2F2"/>
            <w:noWrap/>
            <w:vAlign w:val="center"/>
            <w:hideMark/>
          </w:tcPr>
          <w:p w14:paraId="315DE4E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Reporting</w:t>
            </w:r>
          </w:p>
        </w:tc>
        <w:tc>
          <w:tcPr>
            <w:tcW w:w="182" w:type="pct"/>
            <w:tcBorders>
              <w:top w:val="nil"/>
              <w:left w:val="nil"/>
              <w:bottom w:val="single" w:sz="4" w:space="0" w:color="auto"/>
              <w:right w:val="single" w:sz="4" w:space="0" w:color="auto"/>
            </w:tcBorders>
            <w:shd w:val="clear" w:color="000000" w:fill="F2F2F2"/>
            <w:vAlign w:val="center"/>
            <w:hideMark/>
          </w:tcPr>
          <w:p w14:paraId="7A23B2A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4" w:type="pct"/>
            <w:tcBorders>
              <w:top w:val="nil"/>
              <w:left w:val="nil"/>
              <w:bottom w:val="single" w:sz="4" w:space="0" w:color="auto"/>
              <w:right w:val="single" w:sz="4" w:space="0" w:color="auto"/>
            </w:tcBorders>
            <w:shd w:val="clear" w:color="000000" w:fill="F2F2F2"/>
            <w:vAlign w:val="center"/>
            <w:hideMark/>
          </w:tcPr>
          <w:p w14:paraId="4688D19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4" w:type="pct"/>
            <w:tcBorders>
              <w:top w:val="nil"/>
              <w:left w:val="nil"/>
              <w:bottom w:val="single" w:sz="4" w:space="0" w:color="auto"/>
              <w:right w:val="single" w:sz="4" w:space="0" w:color="auto"/>
            </w:tcBorders>
            <w:shd w:val="clear" w:color="000000" w:fill="F2F2F2"/>
            <w:vAlign w:val="center"/>
            <w:hideMark/>
          </w:tcPr>
          <w:p w14:paraId="09DD2E2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28" w:type="pct"/>
            <w:tcBorders>
              <w:top w:val="nil"/>
              <w:left w:val="nil"/>
              <w:bottom w:val="single" w:sz="4" w:space="0" w:color="auto"/>
              <w:right w:val="single" w:sz="4" w:space="0" w:color="auto"/>
            </w:tcBorders>
            <w:shd w:val="clear" w:color="000000" w:fill="F2F2F2"/>
            <w:vAlign w:val="center"/>
            <w:hideMark/>
          </w:tcPr>
          <w:p w14:paraId="05404CA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74" w:type="pct"/>
            <w:tcBorders>
              <w:top w:val="nil"/>
              <w:left w:val="nil"/>
              <w:bottom w:val="single" w:sz="4" w:space="0" w:color="auto"/>
              <w:right w:val="single" w:sz="4" w:space="0" w:color="auto"/>
            </w:tcBorders>
            <w:shd w:val="clear" w:color="000000" w:fill="F2F2F2"/>
            <w:vAlign w:val="center"/>
            <w:hideMark/>
          </w:tcPr>
          <w:p w14:paraId="0EC9B59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2" w:type="pct"/>
            <w:tcBorders>
              <w:top w:val="nil"/>
              <w:left w:val="nil"/>
              <w:bottom w:val="single" w:sz="4" w:space="0" w:color="auto"/>
              <w:right w:val="single" w:sz="4" w:space="0" w:color="auto"/>
            </w:tcBorders>
            <w:shd w:val="clear" w:color="000000" w:fill="F2F2F2"/>
            <w:vAlign w:val="center"/>
            <w:hideMark/>
          </w:tcPr>
          <w:p w14:paraId="6B48B65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74" w:type="pct"/>
            <w:tcBorders>
              <w:top w:val="nil"/>
              <w:left w:val="nil"/>
              <w:bottom w:val="single" w:sz="4" w:space="0" w:color="auto"/>
              <w:right w:val="single" w:sz="4" w:space="0" w:color="auto"/>
            </w:tcBorders>
            <w:shd w:val="clear" w:color="000000" w:fill="F2F2F2"/>
            <w:vAlign w:val="center"/>
            <w:hideMark/>
          </w:tcPr>
          <w:p w14:paraId="5F8879A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74" w:type="pct"/>
            <w:tcBorders>
              <w:top w:val="nil"/>
              <w:left w:val="nil"/>
              <w:bottom w:val="single" w:sz="4" w:space="0" w:color="auto"/>
              <w:right w:val="single" w:sz="4" w:space="0" w:color="auto"/>
            </w:tcBorders>
            <w:shd w:val="clear" w:color="000000" w:fill="F2F2F2"/>
            <w:vAlign w:val="center"/>
            <w:hideMark/>
          </w:tcPr>
          <w:p w14:paraId="11AEF4B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6" w:type="pct"/>
            <w:tcBorders>
              <w:top w:val="nil"/>
              <w:left w:val="nil"/>
              <w:bottom w:val="single" w:sz="4" w:space="0" w:color="auto"/>
              <w:right w:val="single" w:sz="4" w:space="0" w:color="auto"/>
            </w:tcBorders>
            <w:shd w:val="clear" w:color="000000" w:fill="F2F2F2"/>
            <w:vAlign w:val="center"/>
            <w:hideMark/>
          </w:tcPr>
          <w:p w14:paraId="7FEF31D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31" w:type="pct"/>
            <w:tcBorders>
              <w:top w:val="nil"/>
              <w:left w:val="nil"/>
              <w:bottom w:val="single" w:sz="4" w:space="0" w:color="auto"/>
              <w:right w:val="single" w:sz="4" w:space="0" w:color="auto"/>
            </w:tcBorders>
            <w:shd w:val="clear" w:color="000000" w:fill="F2F2F2"/>
            <w:vAlign w:val="center"/>
            <w:hideMark/>
          </w:tcPr>
          <w:p w14:paraId="165941F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29" w:type="pct"/>
            <w:tcBorders>
              <w:top w:val="nil"/>
              <w:left w:val="nil"/>
              <w:bottom w:val="single" w:sz="4" w:space="0" w:color="auto"/>
              <w:right w:val="single" w:sz="4" w:space="0" w:color="auto"/>
            </w:tcBorders>
            <w:shd w:val="clear" w:color="000000" w:fill="F2F2F2"/>
            <w:vAlign w:val="center"/>
            <w:hideMark/>
          </w:tcPr>
          <w:p w14:paraId="794416E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66" w:type="pct"/>
            <w:tcBorders>
              <w:top w:val="nil"/>
              <w:left w:val="nil"/>
              <w:bottom w:val="single" w:sz="4" w:space="0" w:color="auto"/>
              <w:right w:val="single" w:sz="4" w:space="0" w:color="auto"/>
            </w:tcBorders>
            <w:shd w:val="clear" w:color="000000" w:fill="F2F2F2"/>
            <w:vAlign w:val="center"/>
            <w:hideMark/>
          </w:tcPr>
          <w:p w14:paraId="442FF0B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66" w:type="pct"/>
            <w:tcBorders>
              <w:top w:val="nil"/>
              <w:left w:val="nil"/>
              <w:bottom w:val="single" w:sz="4" w:space="0" w:color="auto"/>
              <w:right w:val="single" w:sz="4" w:space="0" w:color="auto"/>
            </w:tcBorders>
            <w:shd w:val="clear" w:color="000000" w:fill="F2F2F2"/>
            <w:vAlign w:val="center"/>
            <w:hideMark/>
          </w:tcPr>
          <w:p w14:paraId="7E3270E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333" w:type="pct"/>
            <w:tcBorders>
              <w:top w:val="nil"/>
              <w:left w:val="nil"/>
              <w:bottom w:val="single" w:sz="4" w:space="0" w:color="auto"/>
              <w:right w:val="single" w:sz="4" w:space="0" w:color="auto"/>
            </w:tcBorders>
            <w:shd w:val="clear" w:color="000000" w:fill="F2F2F2"/>
            <w:vAlign w:val="center"/>
            <w:hideMark/>
          </w:tcPr>
          <w:p w14:paraId="702302C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7" w:type="pct"/>
            <w:tcBorders>
              <w:top w:val="nil"/>
              <w:left w:val="nil"/>
              <w:bottom w:val="single" w:sz="4" w:space="0" w:color="auto"/>
              <w:right w:val="single" w:sz="4" w:space="0" w:color="auto"/>
            </w:tcBorders>
            <w:shd w:val="clear" w:color="000000" w:fill="F2F2F2"/>
            <w:vAlign w:val="center"/>
            <w:hideMark/>
          </w:tcPr>
          <w:p w14:paraId="0A2E354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31" w:type="pct"/>
            <w:tcBorders>
              <w:top w:val="nil"/>
              <w:left w:val="nil"/>
              <w:bottom w:val="single" w:sz="4" w:space="0" w:color="auto"/>
              <w:right w:val="single" w:sz="4" w:space="0" w:color="auto"/>
            </w:tcBorders>
            <w:shd w:val="clear" w:color="000000" w:fill="F2F2F2"/>
            <w:vAlign w:val="center"/>
            <w:hideMark/>
          </w:tcPr>
          <w:p w14:paraId="29BECC6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65" w:type="pct"/>
            <w:tcBorders>
              <w:top w:val="nil"/>
              <w:left w:val="nil"/>
              <w:bottom w:val="single" w:sz="4" w:space="0" w:color="auto"/>
              <w:right w:val="single" w:sz="4" w:space="0" w:color="auto"/>
            </w:tcBorders>
            <w:shd w:val="clear" w:color="000000" w:fill="F2F2F2"/>
            <w:vAlign w:val="center"/>
            <w:hideMark/>
          </w:tcPr>
          <w:p w14:paraId="17B506B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90" w:type="pct"/>
            <w:tcBorders>
              <w:top w:val="nil"/>
              <w:left w:val="nil"/>
              <w:bottom w:val="single" w:sz="4" w:space="0" w:color="auto"/>
              <w:right w:val="single" w:sz="4" w:space="0" w:color="auto"/>
            </w:tcBorders>
            <w:shd w:val="clear" w:color="000000" w:fill="F2F2F2"/>
          </w:tcPr>
          <w:p w14:paraId="16CFEFF4" w14:textId="77777777" w:rsidR="00EE4BF0" w:rsidRPr="00E85D55" w:rsidRDefault="00EE4BF0" w:rsidP="007D1DAE">
            <w:pPr>
              <w:spacing w:after="0" w:line="480" w:lineRule="auto"/>
              <w:jc w:val="center"/>
              <w:rPr>
                <w:rFonts w:ascii="Times New Roman" w:hAnsi="Times New Roman"/>
                <w:color w:val="000000"/>
                <w:sz w:val="20"/>
                <w:szCs w:val="20"/>
              </w:rPr>
            </w:pPr>
          </w:p>
        </w:tc>
      </w:tr>
      <w:tr w:rsidR="00EE4BF0" w:rsidRPr="00E85D55" w14:paraId="714EA50D" w14:textId="77777777" w:rsidTr="007D1DAE">
        <w:trPr>
          <w:trHeight w:val="270"/>
        </w:trPr>
        <w:tc>
          <w:tcPr>
            <w:tcW w:w="106" w:type="pct"/>
            <w:tcBorders>
              <w:top w:val="nil"/>
              <w:left w:val="single" w:sz="4" w:space="0" w:color="auto"/>
              <w:bottom w:val="single" w:sz="4" w:space="0" w:color="auto"/>
              <w:right w:val="single" w:sz="4" w:space="0" w:color="auto"/>
            </w:tcBorders>
            <w:shd w:val="clear" w:color="000000" w:fill="F2F2F2"/>
            <w:noWrap/>
            <w:vAlign w:val="center"/>
            <w:hideMark/>
          </w:tcPr>
          <w:p w14:paraId="0C9BEAD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882" w:type="pct"/>
            <w:tcBorders>
              <w:top w:val="nil"/>
              <w:left w:val="nil"/>
              <w:bottom w:val="single" w:sz="4" w:space="0" w:color="auto"/>
              <w:right w:val="single" w:sz="4" w:space="0" w:color="auto"/>
            </w:tcBorders>
            <w:shd w:val="clear" w:color="000000" w:fill="F2F2F2"/>
            <w:noWrap/>
            <w:vAlign w:val="center"/>
            <w:hideMark/>
          </w:tcPr>
          <w:p w14:paraId="548D7FC4"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vertAlign w:val="superscript"/>
                <w:lang w:eastAsia="fr-FR"/>
              </w:rPr>
            </w:pPr>
            <w:r w:rsidRPr="00E85D55">
              <w:rPr>
                <w:rFonts w:ascii="Times New Roman" w:hAnsi="Times New Roman"/>
                <w:b/>
                <w:bCs/>
                <w:color w:val="000000"/>
                <w:sz w:val="20"/>
                <w:szCs w:val="20"/>
              </w:rPr>
              <w:t>Subscale score (0 to 7)</w:t>
            </w:r>
          </w:p>
        </w:tc>
        <w:tc>
          <w:tcPr>
            <w:tcW w:w="182" w:type="pct"/>
            <w:tcBorders>
              <w:top w:val="nil"/>
              <w:left w:val="nil"/>
              <w:bottom w:val="single" w:sz="4" w:space="0" w:color="auto"/>
              <w:right w:val="single" w:sz="4" w:space="0" w:color="auto"/>
            </w:tcBorders>
            <w:shd w:val="clear" w:color="000000" w:fill="F2F2F2"/>
            <w:noWrap/>
            <w:vAlign w:val="center"/>
            <w:hideMark/>
          </w:tcPr>
          <w:p w14:paraId="536B627C"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7</w:t>
            </w:r>
          </w:p>
        </w:tc>
        <w:tc>
          <w:tcPr>
            <w:tcW w:w="194" w:type="pct"/>
            <w:tcBorders>
              <w:top w:val="nil"/>
              <w:left w:val="nil"/>
              <w:bottom w:val="single" w:sz="4" w:space="0" w:color="auto"/>
              <w:right w:val="single" w:sz="4" w:space="0" w:color="auto"/>
            </w:tcBorders>
            <w:shd w:val="clear" w:color="000000" w:fill="F2F2F2"/>
            <w:noWrap/>
            <w:vAlign w:val="center"/>
            <w:hideMark/>
          </w:tcPr>
          <w:p w14:paraId="59AE188B"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7</w:t>
            </w:r>
          </w:p>
        </w:tc>
        <w:tc>
          <w:tcPr>
            <w:tcW w:w="194" w:type="pct"/>
            <w:tcBorders>
              <w:top w:val="nil"/>
              <w:left w:val="nil"/>
              <w:bottom w:val="single" w:sz="4" w:space="0" w:color="auto"/>
              <w:right w:val="single" w:sz="4" w:space="0" w:color="auto"/>
            </w:tcBorders>
            <w:shd w:val="clear" w:color="000000" w:fill="F2F2F2"/>
            <w:noWrap/>
            <w:vAlign w:val="center"/>
            <w:hideMark/>
          </w:tcPr>
          <w:p w14:paraId="06F0831D"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6</w:t>
            </w:r>
          </w:p>
        </w:tc>
        <w:tc>
          <w:tcPr>
            <w:tcW w:w="228" w:type="pct"/>
            <w:tcBorders>
              <w:top w:val="nil"/>
              <w:left w:val="nil"/>
              <w:bottom w:val="single" w:sz="4" w:space="0" w:color="auto"/>
              <w:right w:val="single" w:sz="4" w:space="0" w:color="auto"/>
            </w:tcBorders>
            <w:shd w:val="clear" w:color="000000" w:fill="F2F2F2"/>
            <w:noWrap/>
            <w:vAlign w:val="center"/>
            <w:hideMark/>
          </w:tcPr>
          <w:p w14:paraId="53E29141"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7</w:t>
            </w:r>
          </w:p>
        </w:tc>
        <w:tc>
          <w:tcPr>
            <w:tcW w:w="174" w:type="pct"/>
            <w:tcBorders>
              <w:top w:val="nil"/>
              <w:left w:val="nil"/>
              <w:bottom w:val="single" w:sz="4" w:space="0" w:color="auto"/>
              <w:right w:val="single" w:sz="4" w:space="0" w:color="auto"/>
            </w:tcBorders>
            <w:shd w:val="clear" w:color="000000" w:fill="F2F2F2"/>
            <w:noWrap/>
            <w:vAlign w:val="center"/>
            <w:hideMark/>
          </w:tcPr>
          <w:p w14:paraId="35EB3A6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7</w:t>
            </w:r>
          </w:p>
        </w:tc>
        <w:tc>
          <w:tcPr>
            <w:tcW w:w="192" w:type="pct"/>
            <w:tcBorders>
              <w:top w:val="nil"/>
              <w:left w:val="nil"/>
              <w:bottom w:val="single" w:sz="4" w:space="0" w:color="auto"/>
              <w:right w:val="single" w:sz="4" w:space="0" w:color="auto"/>
            </w:tcBorders>
            <w:shd w:val="clear" w:color="000000" w:fill="F2F2F2"/>
            <w:noWrap/>
            <w:vAlign w:val="center"/>
            <w:hideMark/>
          </w:tcPr>
          <w:p w14:paraId="1C2CB925"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5</w:t>
            </w:r>
          </w:p>
        </w:tc>
        <w:tc>
          <w:tcPr>
            <w:tcW w:w="174" w:type="pct"/>
            <w:tcBorders>
              <w:top w:val="nil"/>
              <w:left w:val="nil"/>
              <w:bottom w:val="single" w:sz="4" w:space="0" w:color="auto"/>
              <w:right w:val="single" w:sz="4" w:space="0" w:color="auto"/>
            </w:tcBorders>
            <w:shd w:val="clear" w:color="000000" w:fill="F2F2F2"/>
            <w:noWrap/>
            <w:vAlign w:val="center"/>
            <w:hideMark/>
          </w:tcPr>
          <w:p w14:paraId="7AC7829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7</w:t>
            </w:r>
          </w:p>
        </w:tc>
        <w:tc>
          <w:tcPr>
            <w:tcW w:w="174" w:type="pct"/>
            <w:tcBorders>
              <w:top w:val="nil"/>
              <w:left w:val="nil"/>
              <w:bottom w:val="single" w:sz="4" w:space="0" w:color="auto"/>
              <w:right w:val="single" w:sz="4" w:space="0" w:color="auto"/>
            </w:tcBorders>
            <w:shd w:val="clear" w:color="000000" w:fill="F2F2F2"/>
            <w:noWrap/>
            <w:vAlign w:val="center"/>
            <w:hideMark/>
          </w:tcPr>
          <w:p w14:paraId="52EA36B2"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6</w:t>
            </w:r>
          </w:p>
        </w:tc>
        <w:tc>
          <w:tcPr>
            <w:tcW w:w="196" w:type="pct"/>
            <w:tcBorders>
              <w:top w:val="nil"/>
              <w:left w:val="nil"/>
              <w:bottom w:val="single" w:sz="4" w:space="0" w:color="auto"/>
              <w:right w:val="single" w:sz="4" w:space="0" w:color="auto"/>
            </w:tcBorders>
            <w:shd w:val="clear" w:color="000000" w:fill="F2F2F2"/>
            <w:noWrap/>
            <w:vAlign w:val="center"/>
            <w:hideMark/>
          </w:tcPr>
          <w:p w14:paraId="7E41221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7</w:t>
            </w:r>
          </w:p>
        </w:tc>
        <w:tc>
          <w:tcPr>
            <w:tcW w:w="231" w:type="pct"/>
            <w:tcBorders>
              <w:top w:val="nil"/>
              <w:left w:val="nil"/>
              <w:bottom w:val="single" w:sz="4" w:space="0" w:color="auto"/>
              <w:right w:val="single" w:sz="4" w:space="0" w:color="auto"/>
            </w:tcBorders>
            <w:shd w:val="clear" w:color="000000" w:fill="F2F2F2"/>
            <w:noWrap/>
            <w:vAlign w:val="center"/>
            <w:hideMark/>
          </w:tcPr>
          <w:p w14:paraId="23C63EAD"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4</w:t>
            </w:r>
          </w:p>
        </w:tc>
        <w:tc>
          <w:tcPr>
            <w:tcW w:w="229" w:type="pct"/>
            <w:tcBorders>
              <w:top w:val="nil"/>
              <w:left w:val="nil"/>
              <w:bottom w:val="single" w:sz="4" w:space="0" w:color="auto"/>
              <w:right w:val="single" w:sz="4" w:space="0" w:color="auto"/>
            </w:tcBorders>
            <w:shd w:val="clear" w:color="000000" w:fill="F2F2F2"/>
            <w:noWrap/>
            <w:vAlign w:val="center"/>
            <w:hideMark/>
          </w:tcPr>
          <w:p w14:paraId="075F36D0"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7</w:t>
            </w:r>
          </w:p>
        </w:tc>
        <w:tc>
          <w:tcPr>
            <w:tcW w:w="266" w:type="pct"/>
            <w:tcBorders>
              <w:top w:val="nil"/>
              <w:left w:val="nil"/>
              <w:bottom w:val="single" w:sz="4" w:space="0" w:color="auto"/>
              <w:right w:val="single" w:sz="4" w:space="0" w:color="auto"/>
            </w:tcBorders>
            <w:shd w:val="clear" w:color="000000" w:fill="F2F2F2"/>
            <w:noWrap/>
            <w:vAlign w:val="center"/>
            <w:hideMark/>
          </w:tcPr>
          <w:p w14:paraId="6AC6735F"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6</w:t>
            </w:r>
          </w:p>
        </w:tc>
        <w:tc>
          <w:tcPr>
            <w:tcW w:w="266" w:type="pct"/>
            <w:tcBorders>
              <w:top w:val="nil"/>
              <w:left w:val="nil"/>
              <w:bottom w:val="single" w:sz="4" w:space="0" w:color="auto"/>
              <w:right w:val="single" w:sz="4" w:space="0" w:color="auto"/>
            </w:tcBorders>
            <w:shd w:val="clear" w:color="000000" w:fill="F2F2F2"/>
            <w:noWrap/>
            <w:vAlign w:val="center"/>
            <w:hideMark/>
          </w:tcPr>
          <w:p w14:paraId="5A44EAFD"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6</w:t>
            </w:r>
          </w:p>
        </w:tc>
        <w:tc>
          <w:tcPr>
            <w:tcW w:w="333" w:type="pct"/>
            <w:tcBorders>
              <w:top w:val="nil"/>
              <w:left w:val="nil"/>
              <w:bottom w:val="single" w:sz="4" w:space="0" w:color="auto"/>
              <w:right w:val="single" w:sz="4" w:space="0" w:color="auto"/>
            </w:tcBorders>
            <w:shd w:val="clear" w:color="000000" w:fill="F2F2F2"/>
            <w:noWrap/>
            <w:vAlign w:val="center"/>
            <w:hideMark/>
          </w:tcPr>
          <w:p w14:paraId="20F7BFE8"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6</w:t>
            </w:r>
          </w:p>
        </w:tc>
        <w:tc>
          <w:tcPr>
            <w:tcW w:w="197" w:type="pct"/>
            <w:tcBorders>
              <w:top w:val="nil"/>
              <w:left w:val="nil"/>
              <w:bottom w:val="single" w:sz="4" w:space="0" w:color="auto"/>
              <w:right w:val="single" w:sz="4" w:space="0" w:color="auto"/>
            </w:tcBorders>
            <w:shd w:val="clear" w:color="000000" w:fill="F2F2F2"/>
            <w:noWrap/>
            <w:vAlign w:val="center"/>
            <w:hideMark/>
          </w:tcPr>
          <w:p w14:paraId="5B89F282"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6</w:t>
            </w:r>
          </w:p>
        </w:tc>
        <w:tc>
          <w:tcPr>
            <w:tcW w:w="231" w:type="pct"/>
            <w:tcBorders>
              <w:top w:val="nil"/>
              <w:left w:val="nil"/>
              <w:bottom w:val="single" w:sz="4" w:space="0" w:color="auto"/>
              <w:right w:val="single" w:sz="4" w:space="0" w:color="auto"/>
            </w:tcBorders>
            <w:shd w:val="clear" w:color="000000" w:fill="F2F2F2"/>
            <w:noWrap/>
            <w:vAlign w:val="center"/>
            <w:hideMark/>
          </w:tcPr>
          <w:p w14:paraId="56294D27"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4</w:t>
            </w:r>
          </w:p>
        </w:tc>
        <w:tc>
          <w:tcPr>
            <w:tcW w:w="265" w:type="pct"/>
            <w:tcBorders>
              <w:top w:val="nil"/>
              <w:left w:val="nil"/>
              <w:bottom w:val="single" w:sz="4" w:space="0" w:color="auto"/>
              <w:right w:val="single" w:sz="4" w:space="0" w:color="auto"/>
            </w:tcBorders>
            <w:shd w:val="clear" w:color="000000" w:fill="F2F2F2"/>
            <w:noWrap/>
            <w:vAlign w:val="center"/>
            <w:hideMark/>
          </w:tcPr>
          <w:p w14:paraId="0981A88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4</w:t>
            </w:r>
          </w:p>
        </w:tc>
        <w:tc>
          <w:tcPr>
            <w:tcW w:w="290" w:type="pct"/>
            <w:tcBorders>
              <w:top w:val="nil"/>
              <w:left w:val="nil"/>
              <w:bottom w:val="single" w:sz="4" w:space="0" w:color="auto"/>
              <w:right w:val="single" w:sz="4" w:space="0" w:color="auto"/>
            </w:tcBorders>
            <w:shd w:val="clear" w:color="000000" w:fill="F2F2F2"/>
          </w:tcPr>
          <w:p w14:paraId="4E2B61AA" w14:textId="77777777" w:rsidR="00EE4BF0" w:rsidRPr="00E85D55" w:rsidRDefault="00EE4BF0" w:rsidP="007D1DAE">
            <w:pPr>
              <w:spacing w:after="0" w:line="480" w:lineRule="auto"/>
              <w:jc w:val="center"/>
              <w:rPr>
                <w:rFonts w:ascii="Times New Roman" w:hAnsi="Times New Roman"/>
                <w:b/>
                <w:bCs/>
                <w:color w:val="000000"/>
                <w:sz w:val="20"/>
                <w:szCs w:val="20"/>
              </w:rPr>
            </w:pPr>
            <w:r w:rsidRPr="00E85D55">
              <w:rPr>
                <w:rFonts w:ascii="Times New Roman" w:hAnsi="Times New Roman"/>
                <w:b/>
                <w:bCs/>
                <w:color w:val="000000"/>
                <w:sz w:val="20"/>
                <w:szCs w:val="20"/>
              </w:rPr>
              <w:t>Average score : 6</w:t>
            </w:r>
          </w:p>
        </w:tc>
      </w:tr>
      <w:tr w:rsidR="00EE4BF0" w:rsidRPr="00E85D55" w14:paraId="2DB896F5" w14:textId="77777777" w:rsidTr="007D1DAE">
        <w:trPr>
          <w:trHeight w:val="540"/>
        </w:trPr>
        <w:tc>
          <w:tcPr>
            <w:tcW w:w="106" w:type="pct"/>
            <w:tcBorders>
              <w:top w:val="nil"/>
              <w:left w:val="single" w:sz="4" w:space="0" w:color="auto"/>
              <w:bottom w:val="single" w:sz="4" w:space="0" w:color="auto"/>
              <w:right w:val="single" w:sz="4" w:space="0" w:color="auto"/>
            </w:tcBorders>
            <w:shd w:val="clear" w:color="000000" w:fill="FFFFFF"/>
            <w:noWrap/>
            <w:vAlign w:val="center"/>
            <w:hideMark/>
          </w:tcPr>
          <w:p w14:paraId="711ECBF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882" w:type="pct"/>
            <w:tcBorders>
              <w:top w:val="nil"/>
              <w:left w:val="nil"/>
              <w:bottom w:val="single" w:sz="4" w:space="0" w:color="auto"/>
              <w:right w:val="single" w:sz="4" w:space="0" w:color="auto"/>
            </w:tcBorders>
            <w:shd w:val="clear" w:color="000000" w:fill="FFFFFF"/>
            <w:vAlign w:val="center"/>
            <w:hideMark/>
          </w:tcPr>
          <w:p w14:paraId="4582F63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Was the number of individuals screened or selected at each stage of defining the final sample reported?</w:t>
            </w:r>
          </w:p>
        </w:tc>
        <w:tc>
          <w:tcPr>
            <w:tcW w:w="182" w:type="pct"/>
            <w:tcBorders>
              <w:top w:val="nil"/>
              <w:left w:val="nil"/>
              <w:bottom w:val="single" w:sz="4" w:space="0" w:color="auto"/>
              <w:right w:val="single" w:sz="4" w:space="0" w:color="auto"/>
            </w:tcBorders>
            <w:shd w:val="clear" w:color="000000" w:fill="FFFFFF"/>
            <w:noWrap/>
            <w:vAlign w:val="center"/>
            <w:hideMark/>
          </w:tcPr>
          <w:p w14:paraId="4C2CFDE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7514E01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3CE6423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8" w:type="pct"/>
            <w:tcBorders>
              <w:top w:val="nil"/>
              <w:left w:val="nil"/>
              <w:bottom w:val="single" w:sz="4" w:space="0" w:color="auto"/>
              <w:right w:val="single" w:sz="4" w:space="0" w:color="auto"/>
            </w:tcBorders>
            <w:shd w:val="clear" w:color="000000" w:fill="FFFFFF"/>
            <w:noWrap/>
            <w:vAlign w:val="center"/>
            <w:hideMark/>
          </w:tcPr>
          <w:p w14:paraId="6886890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0C42A31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hideMark/>
          </w:tcPr>
          <w:p w14:paraId="7378486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687E927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5AC5298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6" w:type="pct"/>
            <w:tcBorders>
              <w:top w:val="nil"/>
              <w:left w:val="nil"/>
              <w:bottom w:val="single" w:sz="4" w:space="0" w:color="auto"/>
              <w:right w:val="single" w:sz="4" w:space="0" w:color="auto"/>
            </w:tcBorders>
            <w:shd w:val="clear" w:color="000000" w:fill="FFFFFF"/>
            <w:noWrap/>
            <w:vAlign w:val="center"/>
            <w:hideMark/>
          </w:tcPr>
          <w:p w14:paraId="58D6310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2C229F7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29" w:type="pct"/>
            <w:tcBorders>
              <w:top w:val="nil"/>
              <w:left w:val="nil"/>
              <w:bottom w:val="single" w:sz="4" w:space="0" w:color="auto"/>
              <w:right w:val="single" w:sz="4" w:space="0" w:color="auto"/>
            </w:tcBorders>
            <w:shd w:val="clear" w:color="000000" w:fill="FFFFFF"/>
            <w:noWrap/>
            <w:vAlign w:val="center"/>
            <w:hideMark/>
          </w:tcPr>
          <w:p w14:paraId="474DA47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08AABD6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1930C1E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33" w:type="pct"/>
            <w:tcBorders>
              <w:top w:val="nil"/>
              <w:left w:val="nil"/>
              <w:bottom w:val="single" w:sz="4" w:space="0" w:color="auto"/>
              <w:right w:val="single" w:sz="4" w:space="0" w:color="auto"/>
            </w:tcBorders>
            <w:shd w:val="clear" w:color="000000" w:fill="FFFFFF"/>
            <w:noWrap/>
            <w:vAlign w:val="center"/>
            <w:hideMark/>
          </w:tcPr>
          <w:p w14:paraId="7E8C930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7" w:type="pct"/>
            <w:tcBorders>
              <w:top w:val="nil"/>
              <w:left w:val="nil"/>
              <w:bottom w:val="single" w:sz="4" w:space="0" w:color="auto"/>
              <w:right w:val="single" w:sz="4" w:space="0" w:color="auto"/>
            </w:tcBorders>
            <w:shd w:val="clear" w:color="000000" w:fill="FFFFFF"/>
            <w:noWrap/>
            <w:vAlign w:val="center"/>
            <w:hideMark/>
          </w:tcPr>
          <w:p w14:paraId="71F2B13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0685741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5" w:type="pct"/>
            <w:tcBorders>
              <w:top w:val="nil"/>
              <w:left w:val="nil"/>
              <w:bottom w:val="single" w:sz="4" w:space="0" w:color="auto"/>
              <w:right w:val="single" w:sz="4" w:space="0" w:color="auto"/>
            </w:tcBorders>
            <w:shd w:val="clear" w:color="000000" w:fill="FFFFFF"/>
            <w:noWrap/>
            <w:vAlign w:val="center"/>
            <w:hideMark/>
          </w:tcPr>
          <w:p w14:paraId="48C403A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90" w:type="pct"/>
            <w:tcBorders>
              <w:top w:val="nil"/>
              <w:left w:val="nil"/>
              <w:bottom w:val="single" w:sz="4" w:space="0" w:color="auto"/>
              <w:right w:val="single" w:sz="4" w:space="0" w:color="auto"/>
            </w:tcBorders>
            <w:shd w:val="clear" w:color="000000" w:fill="FFFFFF"/>
          </w:tcPr>
          <w:p w14:paraId="22CD0153"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16</w:t>
            </w:r>
          </w:p>
        </w:tc>
      </w:tr>
      <w:tr w:rsidR="00EE4BF0" w:rsidRPr="00E85D55" w14:paraId="2C02B183" w14:textId="77777777" w:rsidTr="007D1DAE">
        <w:trPr>
          <w:trHeight w:val="1351"/>
        </w:trPr>
        <w:tc>
          <w:tcPr>
            <w:tcW w:w="106" w:type="pct"/>
            <w:tcBorders>
              <w:top w:val="nil"/>
              <w:left w:val="single" w:sz="4" w:space="0" w:color="auto"/>
              <w:bottom w:val="single" w:sz="4" w:space="0" w:color="auto"/>
              <w:right w:val="single" w:sz="4" w:space="0" w:color="auto"/>
            </w:tcBorders>
            <w:shd w:val="clear" w:color="000000" w:fill="FFFFFF"/>
            <w:noWrap/>
            <w:vAlign w:val="center"/>
            <w:hideMark/>
          </w:tcPr>
          <w:p w14:paraId="1D840BA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2</w:t>
            </w:r>
          </w:p>
        </w:tc>
        <w:tc>
          <w:tcPr>
            <w:tcW w:w="882" w:type="pct"/>
            <w:tcBorders>
              <w:top w:val="nil"/>
              <w:left w:val="nil"/>
              <w:bottom w:val="single" w:sz="4" w:space="0" w:color="auto"/>
              <w:right w:val="single" w:sz="4" w:space="0" w:color="auto"/>
            </w:tcBorders>
            <w:shd w:val="clear" w:color="000000" w:fill="FFFFFF"/>
            <w:vAlign w:val="center"/>
            <w:hideMark/>
          </w:tcPr>
          <w:p w14:paraId="6DBEABB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Were the descriptive statistics of the study participants adequately reported?</w:t>
            </w:r>
          </w:p>
        </w:tc>
        <w:tc>
          <w:tcPr>
            <w:tcW w:w="182" w:type="pct"/>
            <w:tcBorders>
              <w:top w:val="nil"/>
              <w:left w:val="nil"/>
              <w:bottom w:val="single" w:sz="4" w:space="0" w:color="auto"/>
              <w:right w:val="single" w:sz="4" w:space="0" w:color="auto"/>
            </w:tcBorders>
            <w:shd w:val="clear" w:color="000000" w:fill="FFFFFF"/>
            <w:noWrap/>
            <w:vAlign w:val="center"/>
            <w:hideMark/>
          </w:tcPr>
          <w:p w14:paraId="46CDE32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6390CD3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451EE7E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8" w:type="pct"/>
            <w:tcBorders>
              <w:top w:val="nil"/>
              <w:left w:val="nil"/>
              <w:bottom w:val="single" w:sz="4" w:space="0" w:color="auto"/>
              <w:right w:val="single" w:sz="4" w:space="0" w:color="auto"/>
            </w:tcBorders>
            <w:shd w:val="clear" w:color="000000" w:fill="FFFFFF"/>
            <w:noWrap/>
            <w:vAlign w:val="center"/>
            <w:hideMark/>
          </w:tcPr>
          <w:p w14:paraId="4DB3E9C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0A1C551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hideMark/>
          </w:tcPr>
          <w:p w14:paraId="7BF9B02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74" w:type="pct"/>
            <w:tcBorders>
              <w:top w:val="nil"/>
              <w:left w:val="nil"/>
              <w:bottom w:val="single" w:sz="4" w:space="0" w:color="auto"/>
              <w:right w:val="single" w:sz="4" w:space="0" w:color="auto"/>
            </w:tcBorders>
            <w:shd w:val="clear" w:color="000000" w:fill="FFFFFF"/>
            <w:noWrap/>
            <w:vAlign w:val="center"/>
            <w:hideMark/>
          </w:tcPr>
          <w:p w14:paraId="34E846C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4DEFFC2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6" w:type="pct"/>
            <w:tcBorders>
              <w:top w:val="nil"/>
              <w:left w:val="nil"/>
              <w:bottom w:val="single" w:sz="4" w:space="0" w:color="auto"/>
              <w:right w:val="single" w:sz="4" w:space="0" w:color="auto"/>
            </w:tcBorders>
            <w:shd w:val="clear" w:color="000000" w:fill="FFFFFF"/>
            <w:noWrap/>
            <w:vAlign w:val="center"/>
            <w:hideMark/>
          </w:tcPr>
          <w:p w14:paraId="0AA98FC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25FCB74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6B10FD2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05CCCED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1D2893F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33" w:type="pct"/>
            <w:tcBorders>
              <w:top w:val="nil"/>
              <w:left w:val="nil"/>
              <w:bottom w:val="single" w:sz="4" w:space="0" w:color="auto"/>
              <w:right w:val="single" w:sz="4" w:space="0" w:color="auto"/>
            </w:tcBorders>
            <w:shd w:val="clear" w:color="000000" w:fill="FFFFFF"/>
            <w:noWrap/>
            <w:vAlign w:val="center"/>
            <w:hideMark/>
          </w:tcPr>
          <w:p w14:paraId="38C1D7A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7" w:type="pct"/>
            <w:tcBorders>
              <w:top w:val="nil"/>
              <w:left w:val="nil"/>
              <w:bottom w:val="single" w:sz="4" w:space="0" w:color="auto"/>
              <w:right w:val="single" w:sz="4" w:space="0" w:color="auto"/>
            </w:tcBorders>
            <w:shd w:val="clear" w:color="000000" w:fill="FFFFFF"/>
            <w:noWrap/>
            <w:vAlign w:val="center"/>
            <w:hideMark/>
          </w:tcPr>
          <w:p w14:paraId="7F7B08D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2E0F24E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5" w:type="pct"/>
            <w:tcBorders>
              <w:top w:val="nil"/>
              <w:left w:val="nil"/>
              <w:bottom w:val="single" w:sz="4" w:space="0" w:color="auto"/>
              <w:right w:val="single" w:sz="4" w:space="0" w:color="auto"/>
            </w:tcBorders>
            <w:shd w:val="clear" w:color="000000" w:fill="FFFFFF"/>
            <w:noWrap/>
            <w:vAlign w:val="center"/>
            <w:hideMark/>
          </w:tcPr>
          <w:p w14:paraId="1606A07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90" w:type="pct"/>
            <w:tcBorders>
              <w:top w:val="nil"/>
              <w:left w:val="nil"/>
              <w:bottom w:val="single" w:sz="4" w:space="0" w:color="auto"/>
              <w:right w:val="single" w:sz="4" w:space="0" w:color="auto"/>
            </w:tcBorders>
            <w:shd w:val="clear" w:color="000000" w:fill="FFFFFF"/>
          </w:tcPr>
          <w:p w14:paraId="1747793C"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16</w:t>
            </w:r>
          </w:p>
        </w:tc>
      </w:tr>
      <w:tr w:rsidR="00EE4BF0" w:rsidRPr="00E85D55" w14:paraId="3C8AD7D8" w14:textId="77777777" w:rsidTr="007D1DAE">
        <w:trPr>
          <w:trHeight w:val="1081"/>
        </w:trPr>
        <w:tc>
          <w:tcPr>
            <w:tcW w:w="106" w:type="pct"/>
            <w:tcBorders>
              <w:top w:val="nil"/>
              <w:left w:val="single" w:sz="4" w:space="0" w:color="auto"/>
              <w:bottom w:val="single" w:sz="4" w:space="0" w:color="auto"/>
              <w:right w:val="single" w:sz="4" w:space="0" w:color="auto"/>
            </w:tcBorders>
            <w:shd w:val="clear" w:color="000000" w:fill="FFFFFF"/>
            <w:noWrap/>
            <w:vAlign w:val="center"/>
            <w:hideMark/>
          </w:tcPr>
          <w:p w14:paraId="7E60C9B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lastRenderedPageBreak/>
              <w:t>3</w:t>
            </w:r>
          </w:p>
        </w:tc>
        <w:tc>
          <w:tcPr>
            <w:tcW w:w="882" w:type="pct"/>
            <w:tcBorders>
              <w:top w:val="nil"/>
              <w:left w:val="nil"/>
              <w:bottom w:val="single" w:sz="4" w:space="0" w:color="auto"/>
              <w:right w:val="single" w:sz="4" w:space="0" w:color="auto"/>
            </w:tcBorders>
            <w:shd w:val="clear" w:color="000000" w:fill="FFFFFF"/>
            <w:vAlign w:val="center"/>
            <w:hideMark/>
          </w:tcPr>
          <w:p w14:paraId="6226D36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Did the authors describe the key components of their statistical approaches?</w:t>
            </w:r>
          </w:p>
        </w:tc>
        <w:tc>
          <w:tcPr>
            <w:tcW w:w="182" w:type="pct"/>
            <w:tcBorders>
              <w:top w:val="nil"/>
              <w:left w:val="nil"/>
              <w:bottom w:val="single" w:sz="4" w:space="0" w:color="auto"/>
              <w:right w:val="single" w:sz="4" w:space="0" w:color="auto"/>
            </w:tcBorders>
            <w:shd w:val="clear" w:color="000000" w:fill="FFFFFF"/>
            <w:noWrap/>
            <w:vAlign w:val="center"/>
            <w:hideMark/>
          </w:tcPr>
          <w:p w14:paraId="068A297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7D65491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31B0E9A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8" w:type="pct"/>
            <w:tcBorders>
              <w:top w:val="nil"/>
              <w:left w:val="nil"/>
              <w:bottom w:val="single" w:sz="4" w:space="0" w:color="auto"/>
              <w:right w:val="single" w:sz="4" w:space="0" w:color="auto"/>
            </w:tcBorders>
            <w:shd w:val="clear" w:color="000000" w:fill="FFFFFF"/>
            <w:noWrap/>
            <w:vAlign w:val="center"/>
            <w:hideMark/>
          </w:tcPr>
          <w:p w14:paraId="6B010C8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224A74D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hideMark/>
          </w:tcPr>
          <w:p w14:paraId="1D71B8E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2ECFF48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7AE49AC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6" w:type="pct"/>
            <w:tcBorders>
              <w:top w:val="nil"/>
              <w:left w:val="nil"/>
              <w:bottom w:val="single" w:sz="4" w:space="0" w:color="auto"/>
              <w:right w:val="single" w:sz="4" w:space="0" w:color="auto"/>
            </w:tcBorders>
            <w:shd w:val="clear" w:color="000000" w:fill="FFFFFF"/>
            <w:noWrap/>
            <w:vAlign w:val="center"/>
            <w:hideMark/>
          </w:tcPr>
          <w:p w14:paraId="2F11FBC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5FF4484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3985768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501FFAD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75E805D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33" w:type="pct"/>
            <w:tcBorders>
              <w:top w:val="nil"/>
              <w:left w:val="nil"/>
              <w:bottom w:val="single" w:sz="4" w:space="0" w:color="auto"/>
              <w:right w:val="single" w:sz="4" w:space="0" w:color="auto"/>
            </w:tcBorders>
            <w:shd w:val="clear" w:color="000000" w:fill="FFFFFF"/>
            <w:noWrap/>
            <w:vAlign w:val="center"/>
            <w:hideMark/>
          </w:tcPr>
          <w:p w14:paraId="6134F83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7" w:type="pct"/>
            <w:tcBorders>
              <w:top w:val="nil"/>
              <w:left w:val="nil"/>
              <w:bottom w:val="single" w:sz="4" w:space="0" w:color="auto"/>
              <w:right w:val="single" w:sz="4" w:space="0" w:color="auto"/>
            </w:tcBorders>
            <w:shd w:val="clear" w:color="000000" w:fill="FFFFFF"/>
            <w:noWrap/>
            <w:vAlign w:val="center"/>
            <w:hideMark/>
          </w:tcPr>
          <w:p w14:paraId="48238AE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1695BFB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5" w:type="pct"/>
            <w:tcBorders>
              <w:top w:val="nil"/>
              <w:left w:val="nil"/>
              <w:bottom w:val="single" w:sz="4" w:space="0" w:color="auto"/>
              <w:right w:val="single" w:sz="4" w:space="0" w:color="auto"/>
            </w:tcBorders>
            <w:shd w:val="clear" w:color="000000" w:fill="FFFFFF"/>
            <w:noWrap/>
            <w:vAlign w:val="center"/>
            <w:hideMark/>
          </w:tcPr>
          <w:p w14:paraId="09E81DC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90" w:type="pct"/>
            <w:tcBorders>
              <w:top w:val="nil"/>
              <w:left w:val="nil"/>
              <w:bottom w:val="single" w:sz="4" w:space="0" w:color="auto"/>
              <w:right w:val="single" w:sz="4" w:space="0" w:color="auto"/>
            </w:tcBorders>
            <w:shd w:val="clear" w:color="000000" w:fill="FFFFFF"/>
          </w:tcPr>
          <w:p w14:paraId="28CC3144"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17</w:t>
            </w:r>
          </w:p>
        </w:tc>
      </w:tr>
      <w:tr w:rsidR="00EE4BF0" w:rsidRPr="00E85D55" w14:paraId="1E554792" w14:textId="77777777" w:rsidTr="007D1DAE">
        <w:trPr>
          <w:trHeight w:val="811"/>
        </w:trPr>
        <w:tc>
          <w:tcPr>
            <w:tcW w:w="106" w:type="pct"/>
            <w:tcBorders>
              <w:top w:val="nil"/>
              <w:left w:val="single" w:sz="4" w:space="0" w:color="auto"/>
              <w:bottom w:val="single" w:sz="4" w:space="0" w:color="auto"/>
              <w:right w:val="single" w:sz="4" w:space="0" w:color="auto"/>
            </w:tcBorders>
            <w:shd w:val="clear" w:color="000000" w:fill="FFFFFF"/>
            <w:noWrap/>
            <w:vAlign w:val="center"/>
            <w:hideMark/>
          </w:tcPr>
          <w:p w14:paraId="358740A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4</w:t>
            </w:r>
          </w:p>
        </w:tc>
        <w:tc>
          <w:tcPr>
            <w:tcW w:w="882" w:type="pct"/>
            <w:tcBorders>
              <w:top w:val="nil"/>
              <w:left w:val="nil"/>
              <w:bottom w:val="single" w:sz="4" w:space="0" w:color="auto"/>
              <w:right w:val="single" w:sz="4" w:space="0" w:color="auto"/>
            </w:tcBorders>
            <w:shd w:val="clear" w:color="000000" w:fill="FFFFFF"/>
            <w:vAlign w:val="center"/>
            <w:hideMark/>
          </w:tcPr>
          <w:p w14:paraId="20C80F9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Were counfounder-adjusted estimates of treatment effects reported?</w:t>
            </w:r>
          </w:p>
        </w:tc>
        <w:tc>
          <w:tcPr>
            <w:tcW w:w="182" w:type="pct"/>
            <w:tcBorders>
              <w:top w:val="nil"/>
              <w:left w:val="nil"/>
              <w:bottom w:val="single" w:sz="4" w:space="0" w:color="auto"/>
              <w:right w:val="single" w:sz="4" w:space="0" w:color="auto"/>
            </w:tcBorders>
            <w:shd w:val="clear" w:color="000000" w:fill="FFFFFF"/>
            <w:noWrap/>
            <w:vAlign w:val="center"/>
            <w:hideMark/>
          </w:tcPr>
          <w:p w14:paraId="360A4A2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43CA91A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4D42A05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8" w:type="pct"/>
            <w:tcBorders>
              <w:top w:val="nil"/>
              <w:left w:val="nil"/>
              <w:bottom w:val="single" w:sz="4" w:space="0" w:color="auto"/>
              <w:right w:val="single" w:sz="4" w:space="0" w:color="auto"/>
            </w:tcBorders>
            <w:shd w:val="clear" w:color="000000" w:fill="FFFFFF"/>
            <w:noWrap/>
            <w:vAlign w:val="center"/>
            <w:hideMark/>
          </w:tcPr>
          <w:p w14:paraId="100D057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5E96748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hideMark/>
          </w:tcPr>
          <w:p w14:paraId="4D00320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1B8C4D7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708407D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6" w:type="pct"/>
            <w:tcBorders>
              <w:top w:val="nil"/>
              <w:left w:val="nil"/>
              <w:bottom w:val="single" w:sz="4" w:space="0" w:color="auto"/>
              <w:right w:val="single" w:sz="4" w:space="0" w:color="auto"/>
            </w:tcBorders>
            <w:shd w:val="clear" w:color="000000" w:fill="FFFFFF"/>
            <w:noWrap/>
            <w:vAlign w:val="center"/>
            <w:hideMark/>
          </w:tcPr>
          <w:p w14:paraId="142EE0B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656F72C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7F92C26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3C3A187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66" w:type="pct"/>
            <w:tcBorders>
              <w:top w:val="nil"/>
              <w:left w:val="nil"/>
              <w:bottom w:val="single" w:sz="4" w:space="0" w:color="auto"/>
              <w:right w:val="single" w:sz="4" w:space="0" w:color="auto"/>
            </w:tcBorders>
            <w:shd w:val="clear" w:color="000000" w:fill="FFFFFF"/>
            <w:noWrap/>
            <w:vAlign w:val="center"/>
            <w:hideMark/>
          </w:tcPr>
          <w:p w14:paraId="1BC9FFC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333" w:type="pct"/>
            <w:tcBorders>
              <w:top w:val="nil"/>
              <w:left w:val="nil"/>
              <w:bottom w:val="single" w:sz="4" w:space="0" w:color="auto"/>
              <w:right w:val="single" w:sz="4" w:space="0" w:color="auto"/>
            </w:tcBorders>
            <w:shd w:val="clear" w:color="000000" w:fill="FFFFFF"/>
            <w:noWrap/>
            <w:vAlign w:val="center"/>
            <w:hideMark/>
          </w:tcPr>
          <w:p w14:paraId="2F6627A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7" w:type="pct"/>
            <w:tcBorders>
              <w:top w:val="nil"/>
              <w:left w:val="nil"/>
              <w:bottom w:val="single" w:sz="4" w:space="0" w:color="auto"/>
              <w:right w:val="single" w:sz="4" w:space="0" w:color="auto"/>
            </w:tcBorders>
            <w:shd w:val="clear" w:color="000000" w:fill="FFFFFF"/>
            <w:noWrap/>
            <w:vAlign w:val="center"/>
            <w:hideMark/>
          </w:tcPr>
          <w:p w14:paraId="7D0BC12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46FECC3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65" w:type="pct"/>
            <w:tcBorders>
              <w:top w:val="nil"/>
              <w:left w:val="nil"/>
              <w:bottom w:val="single" w:sz="4" w:space="0" w:color="auto"/>
              <w:right w:val="single" w:sz="4" w:space="0" w:color="auto"/>
            </w:tcBorders>
            <w:shd w:val="clear" w:color="000000" w:fill="FFFFFF"/>
            <w:noWrap/>
            <w:vAlign w:val="center"/>
            <w:hideMark/>
          </w:tcPr>
          <w:p w14:paraId="37EC3C8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90" w:type="pct"/>
            <w:tcBorders>
              <w:top w:val="nil"/>
              <w:left w:val="nil"/>
              <w:bottom w:val="single" w:sz="4" w:space="0" w:color="auto"/>
              <w:right w:val="single" w:sz="4" w:space="0" w:color="auto"/>
            </w:tcBorders>
            <w:shd w:val="clear" w:color="000000" w:fill="FFFFFF"/>
          </w:tcPr>
          <w:p w14:paraId="7CDBFBBC"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11</w:t>
            </w:r>
          </w:p>
        </w:tc>
      </w:tr>
      <w:tr w:rsidR="00EE4BF0" w:rsidRPr="00E85D55" w14:paraId="49A3D7DE" w14:textId="77777777" w:rsidTr="007D1DAE">
        <w:trPr>
          <w:trHeight w:val="540"/>
        </w:trPr>
        <w:tc>
          <w:tcPr>
            <w:tcW w:w="106" w:type="pct"/>
            <w:tcBorders>
              <w:top w:val="nil"/>
              <w:left w:val="single" w:sz="4" w:space="0" w:color="auto"/>
              <w:bottom w:val="single" w:sz="4" w:space="0" w:color="auto"/>
              <w:right w:val="single" w:sz="4" w:space="0" w:color="auto"/>
            </w:tcBorders>
            <w:shd w:val="clear" w:color="000000" w:fill="FFFFFF"/>
            <w:noWrap/>
            <w:vAlign w:val="center"/>
            <w:hideMark/>
          </w:tcPr>
          <w:p w14:paraId="48A771A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5</w:t>
            </w:r>
          </w:p>
        </w:tc>
        <w:tc>
          <w:tcPr>
            <w:tcW w:w="882" w:type="pct"/>
            <w:tcBorders>
              <w:top w:val="nil"/>
              <w:left w:val="nil"/>
              <w:bottom w:val="single" w:sz="4" w:space="0" w:color="auto"/>
              <w:right w:val="single" w:sz="4" w:space="0" w:color="auto"/>
            </w:tcBorders>
            <w:shd w:val="clear" w:color="000000" w:fill="FFFFFF"/>
            <w:vAlign w:val="center"/>
            <w:hideMark/>
          </w:tcPr>
          <w:p w14:paraId="5ABFBD5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Did the authors describe the statistical uncertainty of their findings?</w:t>
            </w:r>
          </w:p>
        </w:tc>
        <w:tc>
          <w:tcPr>
            <w:tcW w:w="182" w:type="pct"/>
            <w:tcBorders>
              <w:top w:val="nil"/>
              <w:left w:val="nil"/>
              <w:bottom w:val="single" w:sz="4" w:space="0" w:color="auto"/>
              <w:right w:val="single" w:sz="4" w:space="0" w:color="auto"/>
            </w:tcBorders>
            <w:shd w:val="clear" w:color="000000" w:fill="FFFFFF"/>
            <w:noWrap/>
            <w:vAlign w:val="center"/>
            <w:hideMark/>
          </w:tcPr>
          <w:p w14:paraId="08CF190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0C010A4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1EF2FCC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8" w:type="pct"/>
            <w:tcBorders>
              <w:top w:val="nil"/>
              <w:left w:val="nil"/>
              <w:bottom w:val="single" w:sz="4" w:space="0" w:color="auto"/>
              <w:right w:val="single" w:sz="4" w:space="0" w:color="auto"/>
            </w:tcBorders>
            <w:shd w:val="clear" w:color="000000" w:fill="FFFFFF"/>
            <w:noWrap/>
            <w:vAlign w:val="center"/>
            <w:hideMark/>
          </w:tcPr>
          <w:p w14:paraId="6AD7919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6AF8418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hideMark/>
          </w:tcPr>
          <w:p w14:paraId="50F636B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74" w:type="pct"/>
            <w:tcBorders>
              <w:top w:val="nil"/>
              <w:left w:val="nil"/>
              <w:bottom w:val="single" w:sz="4" w:space="0" w:color="auto"/>
              <w:right w:val="single" w:sz="4" w:space="0" w:color="auto"/>
            </w:tcBorders>
            <w:shd w:val="clear" w:color="000000" w:fill="FFFFFF"/>
            <w:noWrap/>
            <w:vAlign w:val="center"/>
            <w:hideMark/>
          </w:tcPr>
          <w:p w14:paraId="109D517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7E4AECF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6" w:type="pct"/>
            <w:tcBorders>
              <w:top w:val="nil"/>
              <w:left w:val="nil"/>
              <w:bottom w:val="single" w:sz="4" w:space="0" w:color="auto"/>
              <w:right w:val="single" w:sz="4" w:space="0" w:color="auto"/>
            </w:tcBorders>
            <w:shd w:val="clear" w:color="000000" w:fill="FFFFFF"/>
            <w:noWrap/>
            <w:vAlign w:val="center"/>
            <w:hideMark/>
          </w:tcPr>
          <w:p w14:paraId="1B70A18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auto" w:fill="auto"/>
            <w:noWrap/>
            <w:vAlign w:val="center"/>
            <w:hideMark/>
          </w:tcPr>
          <w:p w14:paraId="4AF2B3D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29" w:type="pct"/>
            <w:tcBorders>
              <w:top w:val="nil"/>
              <w:left w:val="nil"/>
              <w:bottom w:val="single" w:sz="4" w:space="0" w:color="auto"/>
              <w:right w:val="single" w:sz="4" w:space="0" w:color="auto"/>
            </w:tcBorders>
            <w:shd w:val="clear" w:color="auto" w:fill="auto"/>
            <w:noWrap/>
            <w:vAlign w:val="center"/>
            <w:hideMark/>
          </w:tcPr>
          <w:p w14:paraId="5BEAA84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auto" w:fill="auto"/>
            <w:noWrap/>
            <w:vAlign w:val="center"/>
            <w:hideMark/>
          </w:tcPr>
          <w:p w14:paraId="5446B62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auto" w:fill="auto"/>
            <w:noWrap/>
            <w:vAlign w:val="center"/>
            <w:hideMark/>
          </w:tcPr>
          <w:p w14:paraId="37C815B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33" w:type="pct"/>
            <w:tcBorders>
              <w:top w:val="nil"/>
              <w:left w:val="nil"/>
              <w:bottom w:val="single" w:sz="4" w:space="0" w:color="auto"/>
              <w:right w:val="single" w:sz="4" w:space="0" w:color="auto"/>
            </w:tcBorders>
            <w:shd w:val="clear" w:color="auto" w:fill="auto"/>
            <w:noWrap/>
            <w:vAlign w:val="center"/>
            <w:hideMark/>
          </w:tcPr>
          <w:p w14:paraId="11F61C3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7" w:type="pct"/>
            <w:tcBorders>
              <w:top w:val="nil"/>
              <w:left w:val="nil"/>
              <w:bottom w:val="single" w:sz="4" w:space="0" w:color="auto"/>
              <w:right w:val="single" w:sz="4" w:space="0" w:color="auto"/>
            </w:tcBorders>
            <w:shd w:val="clear" w:color="auto" w:fill="auto"/>
            <w:noWrap/>
            <w:vAlign w:val="center"/>
            <w:hideMark/>
          </w:tcPr>
          <w:p w14:paraId="29A56B2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auto" w:fill="auto"/>
            <w:noWrap/>
            <w:vAlign w:val="center"/>
            <w:hideMark/>
          </w:tcPr>
          <w:p w14:paraId="4A0CBD1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65" w:type="pct"/>
            <w:tcBorders>
              <w:top w:val="nil"/>
              <w:left w:val="nil"/>
              <w:bottom w:val="single" w:sz="4" w:space="0" w:color="auto"/>
              <w:right w:val="single" w:sz="4" w:space="0" w:color="auto"/>
            </w:tcBorders>
            <w:shd w:val="clear" w:color="auto" w:fill="auto"/>
            <w:noWrap/>
            <w:vAlign w:val="center"/>
            <w:hideMark/>
          </w:tcPr>
          <w:p w14:paraId="65BDFF5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90" w:type="pct"/>
            <w:tcBorders>
              <w:top w:val="nil"/>
              <w:left w:val="nil"/>
              <w:bottom w:val="single" w:sz="4" w:space="0" w:color="auto"/>
              <w:right w:val="single" w:sz="4" w:space="0" w:color="auto"/>
            </w:tcBorders>
          </w:tcPr>
          <w:p w14:paraId="44FA1927"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13</w:t>
            </w:r>
          </w:p>
        </w:tc>
      </w:tr>
      <w:tr w:rsidR="00EE4BF0" w:rsidRPr="00E85D55" w14:paraId="5F1A989D" w14:textId="77777777" w:rsidTr="007D1DAE">
        <w:trPr>
          <w:trHeight w:val="811"/>
        </w:trPr>
        <w:tc>
          <w:tcPr>
            <w:tcW w:w="106" w:type="pct"/>
            <w:tcBorders>
              <w:top w:val="nil"/>
              <w:left w:val="single" w:sz="4" w:space="0" w:color="auto"/>
              <w:bottom w:val="single" w:sz="4" w:space="0" w:color="auto"/>
              <w:right w:val="single" w:sz="4" w:space="0" w:color="auto"/>
            </w:tcBorders>
            <w:shd w:val="clear" w:color="000000" w:fill="FFFFFF"/>
            <w:noWrap/>
            <w:vAlign w:val="center"/>
            <w:hideMark/>
          </w:tcPr>
          <w:p w14:paraId="2D9D2C4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6</w:t>
            </w:r>
          </w:p>
        </w:tc>
        <w:tc>
          <w:tcPr>
            <w:tcW w:w="882" w:type="pct"/>
            <w:tcBorders>
              <w:top w:val="nil"/>
              <w:left w:val="nil"/>
              <w:bottom w:val="single" w:sz="4" w:space="0" w:color="auto"/>
              <w:right w:val="single" w:sz="4" w:space="0" w:color="auto"/>
            </w:tcBorders>
            <w:shd w:val="clear" w:color="000000" w:fill="FFFFFF"/>
            <w:vAlign w:val="center"/>
            <w:hideMark/>
          </w:tcPr>
          <w:p w14:paraId="01B958D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Was the extent of missing data reported?</w:t>
            </w:r>
          </w:p>
        </w:tc>
        <w:tc>
          <w:tcPr>
            <w:tcW w:w="182" w:type="pct"/>
            <w:tcBorders>
              <w:top w:val="nil"/>
              <w:left w:val="nil"/>
              <w:bottom w:val="single" w:sz="4" w:space="0" w:color="auto"/>
              <w:right w:val="single" w:sz="4" w:space="0" w:color="auto"/>
            </w:tcBorders>
            <w:shd w:val="clear" w:color="000000" w:fill="FFFFFF"/>
            <w:noWrap/>
            <w:vAlign w:val="center"/>
            <w:hideMark/>
          </w:tcPr>
          <w:p w14:paraId="3E922C4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08B8DF5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375D8EC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8" w:type="pct"/>
            <w:tcBorders>
              <w:top w:val="nil"/>
              <w:left w:val="nil"/>
              <w:bottom w:val="single" w:sz="4" w:space="0" w:color="auto"/>
              <w:right w:val="single" w:sz="4" w:space="0" w:color="auto"/>
            </w:tcBorders>
            <w:shd w:val="clear" w:color="000000" w:fill="FFFFFF"/>
            <w:noWrap/>
            <w:vAlign w:val="center"/>
            <w:hideMark/>
          </w:tcPr>
          <w:p w14:paraId="1B3C727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790116B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hideMark/>
          </w:tcPr>
          <w:p w14:paraId="39D0C37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18E6ADF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64AD272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6" w:type="pct"/>
            <w:tcBorders>
              <w:top w:val="nil"/>
              <w:left w:val="nil"/>
              <w:bottom w:val="single" w:sz="4" w:space="0" w:color="auto"/>
              <w:right w:val="single" w:sz="4" w:space="0" w:color="auto"/>
            </w:tcBorders>
            <w:shd w:val="clear" w:color="000000" w:fill="FFFFFF"/>
            <w:noWrap/>
            <w:vAlign w:val="center"/>
            <w:hideMark/>
          </w:tcPr>
          <w:p w14:paraId="61C52E5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648F612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29" w:type="pct"/>
            <w:tcBorders>
              <w:top w:val="nil"/>
              <w:left w:val="nil"/>
              <w:bottom w:val="single" w:sz="4" w:space="0" w:color="auto"/>
              <w:right w:val="single" w:sz="4" w:space="0" w:color="auto"/>
            </w:tcBorders>
            <w:shd w:val="clear" w:color="000000" w:fill="FFFFFF"/>
            <w:noWrap/>
            <w:vAlign w:val="center"/>
            <w:hideMark/>
          </w:tcPr>
          <w:p w14:paraId="6B8FBD3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045A8D7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20F302B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33" w:type="pct"/>
            <w:tcBorders>
              <w:top w:val="nil"/>
              <w:left w:val="nil"/>
              <w:bottom w:val="single" w:sz="4" w:space="0" w:color="auto"/>
              <w:right w:val="single" w:sz="4" w:space="0" w:color="auto"/>
            </w:tcBorders>
            <w:shd w:val="clear" w:color="000000" w:fill="FFFFFF"/>
            <w:noWrap/>
            <w:vAlign w:val="center"/>
            <w:hideMark/>
          </w:tcPr>
          <w:p w14:paraId="25BB646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7" w:type="pct"/>
            <w:tcBorders>
              <w:top w:val="nil"/>
              <w:left w:val="nil"/>
              <w:bottom w:val="single" w:sz="4" w:space="0" w:color="auto"/>
              <w:right w:val="single" w:sz="4" w:space="0" w:color="auto"/>
            </w:tcBorders>
            <w:shd w:val="clear" w:color="000000" w:fill="FFFFFF"/>
            <w:noWrap/>
            <w:vAlign w:val="center"/>
            <w:hideMark/>
          </w:tcPr>
          <w:p w14:paraId="2107489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2F7890C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5" w:type="pct"/>
            <w:tcBorders>
              <w:top w:val="nil"/>
              <w:left w:val="nil"/>
              <w:bottom w:val="single" w:sz="4" w:space="0" w:color="auto"/>
              <w:right w:val="single" w:sz="4" w:space="0" w:color="auto"/>
            </w:tcBorders>
            <w:shd w:val="clear" w:color="000000" w:fill="FFFFFF"/>
            <w:noWrap/>
            <w:vAlign w:val="center"/>
            <w:hideMark/>
          </w:tcPr>
          <w:p w14:paraId="3F57573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90" w:type="pct"/>
            <w:tcBorders>
              <w:top w:val="nil"/>
              <w:left w:val="nil"/>
              <w:bottom w:val="single" w:sz="4" w:space="0" w:color="auto"/>
              <w:right w:val="single" w:sz="4" w:space="0" w:color="auto"/>
            </w:tcBorders>
            <w:shd w:val="clear" w:color="000000" w:fill="FFFFFF"/>
          </w:tcPr>
          <w:p w14:paraId="14BAD8C4"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16</w:t>
            </w:r>
          </w:p>
        </w:tc>
      </w:tr>
      <w:tr w:rsidR="00EE4BF0" w:rsidRPr="00E85D55" w14:paraId="55F4421A" w14:textId="77777777" w:rsidTr="007D1DAE">
        <w:trPr>
          <w:trHeight w:val="1081"/>
        </w:trPr>
        <w:tc>
          <w:tcPr>
            <w:tcW w:w="106" w:type="pct"/>
            <w:tcBorders>
              <w:top w:val="nil"/>
              <w:left w:val="single" w:sz="4" w:space="0" w:color="auto"/>
              <w:bottom w:val="single" w:sz="4" w:space="0" w:color="auto"/>
              <w:right w:val="single" w:sz="4" w:space="0" w:color="auto"/>
            </w:tcBorders>
            <w:shd w:val="clear" w:color="000000" w:fill="FFFFFF"/>
            <w:noWrap/>
            <w:vAlign w:val="center"/>
            <w:hideMark/>
          </w:tcPr>
          <w:p w14:paraId="1A5DAED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7</w:t>
            </w:r>
          </w:p>
        </w:tc>
        <w:tc>
          <w:tcPr>
            <w:tcW w:w="882" w:type="pct"/>
            <w:tcBorders>
              <w:top w:val="nil"/>
              <w:left w:val="nil"/>
              <w:bottom w:val="single" w:sz="4" w:space="0" w:color="auto"/>
              <w:right w:val="single" w:sz="4" w:space="0" w:color="auto"/>
            </w:tcBorders>
            <w:shd w:val="clear" w:color="000000" w:fill="FFFFFF"/>
            <w:vAlign w:val="center"/>
            <w:hideMark/>
          </w:tcPr>
          <w:p w14:paraId="1708D52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Were absolute and relative measures of treatment effect reported?</w:t>
            </w:r>
          </w:p>
        </w:tc>
        <w:tc>
          <w:tcPr>
            <w:tcW w:w="182" w:type="pct"/>
            <w:tcBorders>
              <w:top w:val="nil"/>
              <w:left w:val="nil"/>
              <w:bottom w:val="single" w:sz="4" w:space="0" w:color="auto"/>
              <w:right w:val="single" w:sz="4" w:space="0" w:color="auto"/>
            </w:tcBorders>
            <w:shd w:val="clear" w:color="000000" w:fill="FFFFFF"/>
            <w:noWrap/>
            <w:vAlign w:val="center"/>
            <w:hideMark/>
          </w:tcPr>
          <w:p w14:paraId="48E626B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4068036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7156BCB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28" w:type="pct"/>
            <w:tcBorders>
              <w:top w:val="nil"/>
              <w:left w:val="nil"/>
              <w:bottom w:val="single" w:sz="4" w:space="0" w:color="auto"/>
              <w:right w:val="single" w:sz="4" w:space="0" w:color="auto"/>
            </w:tcBorders>
            <w:shd w:val="clear" w:color="000000" w:fill="FFFFFF"/>
            <w:noWrap/>
            <w:vAlign w:val="center"/>
            <w:hideMark/>
          </w:tcPr>
          <w:p w14:paraId="27918FF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164CE37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hideMark/>
          </w:tcPr>
          <w:p w14:paraId="1EBEA22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125E55F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4" w:type="pct"/>
            <w:tcBorders>
              <w:top w:val="nil"/>
              <w:left w:val="nil"/>
              <w:bottom w:val="single" w:sz="4" w:space="0" w:color="auto"/>
              <w:right w:val="single" w:sz="4" w:space="0" w:color="auto"/>
            </w:tcBorders>
            <w:shd w:val="clear" w:color="000000" w:fill="FFFFFF"/>
            <w:noWrap/>
            <w:vAlign w:val="center"/>
            <w:hideMark/>
          </w:tcPr>
          <w:p w14:paraId="4814518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6" w:type="pct"/>
            <w:tcBorders>
              <w:top w:val="nil"/>
              <w:left w:val="nil"/>
              <w:bottom w:val="single" w:sz="4" w:space="0" w:color="auto"/>
              <w:right w:val="single" w:sz="4" w:space="0" w:color="auto"/>
            </w:tcBorders>
            <w:shd w:val="clear" w:color="000000" w:fill="FFFFFF"/>
            <w:noWrap/>
            <w:vAlign w:val="center"/>
            <w:hideMark/>
          </w:tcPr>
          <w:p w14:paraId="4E8954E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058A209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1F112D6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7108900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6" w:type="pct"/>
            <w:tcBorders>
              <w:top w:val="nil"/>
              <w:left w:val="nil"/>
              <w:bottom w:val="single" w:sz="4" w:space="0" w:color="auto"/>
              <w:right w:val="single" w:sz="4" w:space="0" w:color="auto"/>
            </w:tcBorders>
            <w:shd w:val="clear" w:color="000000" w:fill="FFFFFF"/>
            <w:noWrap/>
            <w:vAlign w:val="center"/>
            <w:hideMark/>
          </w:tcPr>
          <w:p w14:paraId="7089554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33" w:type="pct"/>
            <w:tcBorders>
              <w:top w:val="nil"/>
              <w:left w:val="nil"/>
              <w:bottom w:val="single" w:sz="4" w:space="0" w:color="auto"/>
              <w:right w:val="single" w:sz="4" w:space="0" w:color="auto"/>
            </w:tcBorders>
            <w:shd w:val="clear" w:color="000000" w:fill="FFFFFF"/>
            <w:noWrap/>
            <w:vAlign w:val="center"/>
            <w:hideMark/>
          </w:tcPr>
          <w:p w14:paraId="5F9A23D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7" w:type="pct"/>
            <w:tcBorders>
              <w:top w:val="nil"/>
              <w:left w:val="nil"/>
              <w:bottom w:val="single" w:sz="4" w:space="0" w:color="auto"/>
              <w:right w:val="single" w:sz="4" w:space="0" w:color="auto"/>
            </w:tcBorders>
            <w:shd w:val="clear" w:color="000000" w:fill="FFFFFF"/>
            <w:noWrap/>
            <w:vAlign w:val="center"/>
            <w:hideMark/>
          </w:tcPr>
          <w:p w14:paraId="375DEA3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31" w:type="pct"/>
            <w:tcBorders>
              <w:top w:val="nil"/>
              <w:left w:val="nil"/>
              <w:bottom w:val="single" w:sz="4" w:space="0" w:color="auto"/>
              <w:right w:val="single" w:sz="4" w:space="0" w:color="auto"/>
            </w:tcBorders>
            <w:shd w:val="clear" w:color="000000" w:fill="FFFFFF"/>
            <w:noWrap/>
            <w:vAlign w:val="center"/>
            <w:hideMark/>
          </w:tcPr>
          <w:p w14:paraId="28EF042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65" w:type="pct"/>
            <w:tcBorders>
              <w:top w:val="nil"/>
              <w:left w:val="nil"/>
              <w:bottom w:val="single" w:sz="4" w:space="0" w:color="auto"/>
              <w:right w:val="single" w:sz="4" w:space="0" w:color="auto"/>
            </w:tcBorders>
            <w:shd w:val="clear" w:color="000000" w:fill="FFFFFF"/>
            <w:noWrap/>
            <w:vAlign w:val="center"/>
            <w:hideMark/>
          </w:tcPr>
          <w:p w14:paraId="747FA45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90" w:type="pct"/>
            <w:tcBorders>
              <w:top w:val="nil"/>
              <w:left w:val="nil"/>
              <w:bottom w:val="single" w:sz="4" w:space="0" w:color="auto"/>
              <w:right w:val="single" w:sz="4" w:space="0" w:color="auto"/>
            </w:tcBorders>
            <w:shd w:val="clear" w:color="000000" w:fill="FFFFFF"/>
          </w:tcPr>
          <w:p w14:paraId="5FD0525A"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13</w:t>
            </w:r>
          </w:p>
        </w:tc>
      </w:tr>
      <w:tr w:rsidR="00EE4BF0" w:rsidRPr="00E85D55" w14:paraId="5155C5EC" w14:textId="77777777" w:rsidTr="007D1DAE">
        <w:trPr>
          <w:trHeight w:val="880"/>
        </w:trPr>
        <w:tc>
          <w:tcPr>
            <w:tcW w:w="4710" w:type="pct"/>
            <w:gridSpan w:val="19"/>
            <w:tcBorders>
              <w:top w:val="single" w:sz="4" w:space="0" w:color="auto"/>
            </w:tcBorders>
            <w:shd w:val="clear" w:color="000000" w:fill="FFFFFF"/>
            <w:noWrap/>
          </w:tcPr>
          <w:p w14:paraId="1698BF82" w14:textId="77777777" w:rsidR="00EE4BF0" w:rsidRDefault="00EE4BF0" w:rsidP="007D1DAE">
            <w:pPr>
              <w:spacing w:after="0" w:line="480" w:lineRule="auto"/>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Notes: questions from the grid assessing the credibility of observational studies (Berger et al. (2014)).</w:t>
            </w:r>
          </w:p>
          <w:p w14:paraId="7CF78C74"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r>
              <w:rPr>
                <w:rFonts w:ascii="Times New Roman" w:eastAsia="Times New Roman" w:hAnsi="Times New Roman"/>
                <w:color w:val="000000"/>
                <w:sz w:val="20"/>
                <w:szCs w:val="20"/>
                <w:lang w:val="en-US" w:eastAsia="fr-FR"/>
              </w:rPr>
              <w:t xml:space="preserve">0 = quality item not fulfilled in the paper. 1 = quality item fulfilled in the paper. </w:t>
            </w:r>
            <w:r w:rsidRPr="00E85D55">
              <w:rPr>
                <w:rFonts w:ascii="Times New Roman" w:eastAsia="Times New Roman" w:hAnsi="Times New Roman"/>
                <w:color w:val="000000"/>
                <w:sz w:val="20"/>
                <w:szCs w:val="20"/>
                <w:lang w:val="en-US" w:eastAsia="fr-FR"/>
              </w:rPr>
              <w:t xml:space="preserve">“NA” stands for “not available”. </w:t>
            </w:r>
          </w:p>
          <w:p w14:paraId="3FD4411E"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tc>
        <w:tc>
          <w:tcPr>
            <w:tcW w:w="290" w:type="pct"/>
            <w:tcBorders>
              <w:top w:val="single" w:sz="4" w:space="0" w:color="auto"/>
            </w:tcBorders>
            <w:shd w:val="clear" w:color="000000" w:fill="FFFFFF"/>
          </w:tcPr>
          <w:p w14:paraId="4CD2E2DB"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tc>
      </w:tr>
    </w:tbl>
    <w:p w14:paraId="6296CAD2" w14:textId="77777777" w:rsidR="00EE4BF0" w:rsidRPr="00E85D55" w:rsidRDefault="00EE4BF0" w:rsidP="00EE4BF0">
      <w:pPr>
        <w:spacing w:after="0" w:line="480" w:lineRule="auto"/>
        <w:jc w:val="both"/>
        <w:rPr>
          <w:rFonts w:ascii="Times New Roman" w:hAnsi="Times New Roman"/>
          <w:i/>
          <w:sz w:val="20"/>
          <w:szCs w:val="20"/>
          <w:lang w:val="en-US"/>
        </w:rPr>
      </w:pPr>
    </w:p>
    <w:p w14:paraId="4DEFBD32" w14:textId="77777777" w:rsidR="00EE4BF0" w:rsidRDefault="00EE4BF0" w:rsidP="00EE4BF0">
      <w:pPr>
        <w:spacing w:after="0" w:line="240" w:lineRule="auto"/>
        <w:rPr>
          <w:rFonts w:ascii="Times New Roman" w:hAnsi="Times New Roman"/>
          <w:i/>
          <w:sz w:val="20"/>
          <w:szCs w:val="20"/>
          <w:lang w:val="en-US"/>
        </w:rPr>
      </w:pPr>
      <w:r>
        <w:rPr>
          <w:rFonts w:ascii="Times New Roman" w:hAnsi="Times New Roman"/>
          <w:i/>
          <w:sz w:val="20"/>
          <w:szCs w:val="20"/>
          <w:lang w:val="en-US"/>
        </w:rPr>
        <w:br w:type="page"/>
      </w:r>
    </w:p>
    <w:p w14:paraId="0139F804" w14:textId="77777777" w:rsidR="00EE4BF0" w:rsidRPr="00E85D55" w:rsidRDefault="00EE4BF0" w:rsidP="00EE4BF0">
      <w:pPr>
        <w:spacing w:after="0" w:line="480" w:lineRule="auto"/>
        <w:jc w:val="both"/>
        <w:rPr>
          <w:rFonts w:ascii="Times New Roman" w:hAnsi="Times New Roman"/>
          <w:i/>
          <w:sz w:val="20"/>
          <w:szCs w:val="20"/>
          <w:lang w:val="en-US"/>
        </w:rPr>
      </w:pPr>
    </w:p>
    <w:tbl>
      <w:tblPr>
        <w:tblW w:w="5187" w:type="pct"/>
        <w:tblInd w:w="-530" w:type="dxa"/>
        <w:tblCellMar>
          <w:left w:w="70" w:type="dxa"/>
          <w:right w:w="70" w:type="dxa"/>
        </w:tblCellMar>
        <w:tblLook w:val="04A0" w:firstRow="1" w:lastRow="0" w:firstColumn="1" w:lastColumn="0" w:noHBand="0" w:noVBand="1"/>
      </w:tblPr>
      <w:tblGrid>
        <w:gridCol w:w="301"/>
        <w:gridCol w:w="2556"/>
        <w:gridCol w:w="523"/>
        <w:gridCol w:w="558"/>
        <w:gridCol w:w="558"/>
        <w:gridCol w:w="657"/>
        <w:gridCol w:w="503"/>
        <w:gridCol w:w="552"/>
        <w:gridCol w:w="503"/>
        <w:gridCol w:w="503"/>
        <w:gridCol w:w="564"/>
        <w:gridCol w:w="665"/>
        <w:gridCol w:w="660"/>
        <w:gridCol w:w="767"/>
        <w:gridCol w:w="767"/>
        <w:gridCol w:w="962"/>
        <w:gridCol w:w="567"/>
        <w:gridCol w:w="665"/>
        <w:gridCol w:w="764"/>
        <w:gridCol w:w="933"/>
      </w:tblGrid>
      <w:tr w:rsidR="00EE4BF0" w:rsidRPr="00646ABB" w14:paraId="160ACF63" w14:textId="77777777" w:rsidTr="007D1DAE">
        <w:trPr>
          <w:trHeight w:val="270"/>
        </w:trPr>
        <w:tc>
          <w:tcPr>
            <w:tcW w:w="4679" w:type="pct"/>
            <w:gridSpan w:val="19"/>
            <w:shd w:val="clear" w:color="000000" w:fill="FFFFFF"/>
            <w:noWrap/>
            <w:vAlign w:val="center"/>
          </w:tcPr>
          <w:p w14:paraId="27EC648E" w14:textId="77777777" w:rsidR="00EE4BF0" w:rsidRPr="00397FD3" w:rsidRDefault="00EE4BF0" w:rsidP="007D1DAE">
            <w:pPr>
              <w:spacing w:after="0" w:line="480" w:lineRule="auto"/>
              <w:jc w:val="center"/>
              <w:rPr>
                <w:rFonts w:ascii="Times New Roman" w:eastAsia="Times New Roman" w:hAnsi="Times New Roman"/>
                <w:color w:val="000000"/>
                <w:u w:val="single"/>
                <w:lang w:val="en-US" w:eastAsia="fr-FR"/>
              </w:rPr>
            </w:pPr>
            <w:r w:rsidRPr="00397FD3">
              <w:rPr>
                <w:rFonts w:ascii="Times New Roman" w:eastAsia="Times New Roman" w:hAnsi="Times New Roman"/>
                <w:color w:val="000000"/>
                <w:u w:val="single"/>
                <w:lang w:val="en-US" w:eastAsia="fr-FR"/>
              </w:rPr>
              <w:t xml:space="preserve">Table A.3.5 : assessment of credibility with respect to </w:t>
            </w:r>
            <w:r w:rsidRPr="00397FD3">
              <w:rPr>
                <w:rFonts w:ascii="Times New Roman" w:eastAsia="Times New Roman" w:hAnsi="Times New Roman"/>
                <w:i/>
                <w:color w:val="000000"/>
                <w:u w:val="single"/>
                <w:lang w:val="en-US" w:eastAsia="fr-FR"/>
              </w:rPr>
              <w:t>interpretation</w:t>
            </w:r>
            <w:r w:rsidRPr="00397FD3">
              <w:rPr>
                <w:rFonts w:ascii="Times New Roman" w:eastAsia="Times New Roman" w:hAnsi="Times New Roman"/>
                <w:color w:val="000000"/>
                <w:u w:val="single"/>
                <w:lang w:val="en-US" w:eastAsia="fr-FR"/>
              </w:rPr>
              <w:t xml:space="preserve"> domain</w:t>
            </w:r>
          </w:p>
          <w:p w14:paraId="32DA70C8" w14:textId="77777777" w:rsidR="00EE4BF0" w:rsidRPr="00E85D55" w:rsidRDefault="00EE4BF0" w:rsidP="007D1DAE">
            <w:pPr>
              <w:spacing w:after="0" w:line="480" w:lineRule="auto"/>
              <w:jc w:val="center"/>
              <w:rPr>
                <w:rFonts w:ascii="Times New Roman" w:eastAsia="Times New Roman" w:hAnsi="Times New Roman"/>
                <w:color w:val="000000"/>
                <w:sz w:val="20"/>
                <w:szCs w:val="20"/>
                <w:u w:val="single"/>
                <w:lang w:val="en-US" w:eastAsia="fr-FR"/>
              </w:rPr>
            </w:pPr>
          </w:p>
        </w:tc>
        <w:tc>
          <w:tcPr>
            <w:tcW w:w="321" w:type="pct"/>
            <w:shd w:val="clear" w:color="000000" w:fill="FFFFFF"/>
          </w:tcPr>
          <w:p w14:paraId="01257BCB" w14:textId="77777777" w:rsidR="00EE4BF0" w:rsidRPr="00E85D55" w:rsidRDefault="00EE4BF0" w:rsidP="007D1DAE">
            <w:pPr>
              <w:spacing w:after="0" w:line="480" w:lineRule="auto"/>
              <w:jc w:val="center"/>
              <w:rPr>
                <w:rFonts w:ascii="Times New Roman" w:eastAsia="Times New Roman" w:hAnsi="Times New Roman"/>
                <w:color w:val="000000"/>
                <w:sz w:val="20"/>
                <w:szCs w:val="20"/>
                <w:u w:val="single"/>
                <w:lang w:val="en-US" w:eastAsia="fr-FR"/>
              </w:rPr>
            </w:pPr>
          </w:p>
        </w:tc>
      </w:tr>
      <w:tr w:rsidR="00EE4BF0" w:rsidRPr="00E85D55" w14:paraId="6852CFAE" w14:textId="77777777" w:rsidTr="007D1DAE">
        <w:trPr>
          <w:trHeight w:val="270"/>
        </w:trPr>
        <w:tc>
          <w:tcPr>
            <w:tcW w:w="104" w:type="pct"/>
            <w:vMerge w:val="restart"/>
            <w:tcBorders>
              <w:top w:val="single" w:sz="4" w:space="0" w:color="auto"/>
              <w:left w:val="single" w:sz="4" w:space="0" w:color="auto"/>
              <w:right w:val="single" w:sz="4" w:space="0" w:color="auto"/>
            </w:tcBorders>
            <w:shd w:val="clear" w:color="000000" w:fill="FFFFFF"/>
            <w:noWrap/>
            <w:vAlign w:val="center"/>
            <w:hideMark/>
          </w:tcPr>
          <w:p w14:paraId="37C2C060"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 </w:t>
            </w:r>
          </w:p>
          <w:p w14:paraId="455B016F"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US" w:eastAsia="fr-FR"/>
              </w:rPr>
            </w:pPr>
            <w:r w:rsidRPr="00E85D55">
              <w:rPr>
                <w:rFonts w:ascii="Times New Roman" w:eastAsia="Times New Roman" w:hAnsi="Times New Roman"/>
                <w:b/>
                <w:bCs/>
                <w:color w:val="000000"/>
                <w:sz w:val="20"/>
                <w:szCs w:val="20"/>
                <w:lang w:val="en-US" w:eastAsia="fr-FR"/>
              </w:rPr>
              <w:t> </w:t>
            </w:r>
          </w:p>
        </w:tc>
        <w:tc>
          <w:tcPr>
            <w:tcW w:w="880"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F52E20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Question</w:t>
            </w:r>
          </w:p>
        </w:tc>
        <w:tc>
          <w:tcPr>
            <w:tcW w:w="180" w:type="pct"/>
            <w:tcBorders>
              <w:top w:val="single" w:sz="4" w:space="0" w:color="auto"/>
              <w:left w:val="nil"/>
              <w:bottom w:val="single" w:sz="4" w:space="0" w:color="auto"/>
              <w:right w:val="single" w:sz="4" w:space="0" w:color="auto"/>
            </w:tcBorders>
            <w:shd w:val="clear" w:color="000000" w:fill="FFFFFF"/>
            <w:vAlign w:val="center"/>
            <w:hideMark/>
          </w:tcPr>
          <w:p w14:paraId="39B522A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w:t>
            </w:r>
          </w:p>
        </w:tc>
        <w:tc>
          <w:tcPr>
            <w:tcW w:w="192" w:type="pct"/>
            <w:tcBorders>
              <w:top w:val="single" w:sz="4" w:space="0" w:color="auto"/>
              <w:left w:val="nil"/>
              <w:bottom w:val="single" w:sz="4" w:space="0" w:color="auto"/>
              <w:right w:val="single" w:sz="4" w:space="0" w:color="auto"/>
            </w:tcBorders>
            <w:shd w:val="clear" w:color="000000" w:fill="FFFFFF"/>
            <w:vAlign w:val="center"/>
            <w:hideMark/>
          </w:tcPr>
          <w:p w14:paraId="74FFDFF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2</w:t>
            </w:r>
          </w:p>
        </w:tc>
        <w:tc>
          <w:tcPr>
            <w:tcW w:w="192" w:type="pct"/>
            <w:tcBorders>
              <w:top w:val="single" w:sz="4" w:space="0" w:color="auto"/>
              <w:left w:val="nil"/>
              <w:bottom w:val="single" w:sz="4" w:space="0" w:color="auto"/>
              <w:right w:val="single" w:sz="4" w:space="0" w:color="auto"/>
            </w:tcBorders>
            <w:shd w:val="clear" w:color="000000" w:fill="FFFFFF"/>
            <w:vAlign w:val="center"/>
            <w:hideMark/>
          </w:tcPr>
          <w:p w14:paraId="173F415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3</w:t>
            </w:r>
          </w:p>
        </w:tc>
        <w:tc>
          <w:tcPr>
            <w:tcW w:w="226" w:type="pct"/>
            <w:tcBorders>
              <w:top w:val="single" w:sz="4" w:space="0" w:color="auto"/>
              <w:left w:val="nil"/>
              <w:bottom w:val="single" w:sz="4" w:space="0" w:color="auto"/>
              <w:right w:val="single" w:sz="4" w:space="0" w:color="auto"/>
            </w:tcBorders>
            <w:shd w:val="clear" w:color="000000" w:fill="FFFFFF"/>
            <w:vAlign w:val="center"/>
            <w:hideMark/>
          </w:tcPr>
          <w:p w14:paraId="70BAC5A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4</w:t>
            </w:r>
          </w:p>
        </w:tc>
        <w:tc>
          <w:tcPr>
            <w:tcW w:w="173" w:type="pct"/>
            <w:tcBorders>
              <w:top w:val="single" w:sz="4" w:space="0" w:color="auto"/>
              <w:left w:val="nil"/>
              <w:bottom w:val="single" w:sz="4" w:space="0" w:color="auto"/>
              <w:right w:val="single" w:sz="4" w:space="0" w:color="auto"/>
            </w:tcBorders>
            <w:shd w:val="clear" w:color="000000" w:fill="FFFFFF"/>
            <w:vAlign w:val="center"/>
            <w:hideMark/>
          </w:tcPr>
          <w:p w14:paraId="483E6F9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5</w:t>
            </w:r>
          </w:p>
        </w:tc>
        <w:tc>
          <w:tcPr>
            <w:tcW w:w="190" w:type="pct"/>
            <w:tcBorders>
              <w:top w:val="single" w:sz="4" w:space="0" w:color="auto"/>
              <w:left w:val="nil"/>
              <w:bottom w:val="single" w:sz="4" w:space="0" w:color="auto"/>
              <w:right w:val="single" w:sz="4" w:space="0" w:color="auto"/>
            </w:tcBorders>
            <w:shd w:val="clear" w:color="000000" w:fill="FFFFFF"/>
            <w:vAlign w:val="center"/>
            <w:hideMark/>
          </w:tcPr>
          <w:p w14:paraId="1E4BC38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6</w:t>
            </w:r>
          </w:p>
        </w:tc>
        <w:tc>
          <w:tcPr>
            <w:tcW w:w="173" w:type="pct"/>
            <w:tcBorders>
              <w:top w:val="single" w:sz="4" w:space="0" w:color="auto"/>
              <w:left w:val="nil"/>
              <w:bottom w:val="single" w:sz="4" w:space="0" w:color="auto"/>
              <w:right w:val="single" w:sz="4" w:space="0" w:color="auto"/>
            </w:tcBorders>
            <w:shd w:val="clear" w:color="000000" w:fill="FFFFFF"/>
            <w:vAlign w:val="center"/>
            <w:hideMark/>
          </w:tcPr>
          <w:p w14:paraId="5B9808E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7</w:t>
            </w:r>
          </w:p>
        </w:tc>
        <w:tc>
          <w:tcPr>
            <w:tcW w:w="173" w:type="pct"/>
            <w:tcBorders>
              <w:top w:val="single" w:sz="4" w:space="0" w:color="auto"/>
              <w:left w:val="nil"/>
              <w:bottom w:val="single" w:sz="4" w:space="0" w:color="auto"/>
              <w:right w:val="single" w:sz="4" w:space="0" w:color="auto"/>
            </w:tcBorders>
            <w:shd w:val="clear" w:color="000000" w:fill="FFFFFF"/>
            <w:vAlign w:val="center"/>
            <w:hideMark/>
          </w:tcPr>
          <w:p w14:paraId="729B368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8</w:t>
            </w:r>
          </w:p>
        </w:tc>
        <w:tc>
          <w:tcPr>
            <w:tcW w:w="194" w:type="pct"/>
            <w:tcBorders>
              <w:top w:val="single" w:sz="4" w:space="0" w:color="auto"/>
              <w:left w:val="nil"/>
              <w:bottom w:val="single" w:sz="4" w:space="0" w:color="auto"/>
              <w:right w:val="single" w:sz="4" w:space="0" w:color="auto"/>
            </w:tcBorders>
            <w:shd w:val="clear" w:color="000000" w:fill="FFFFFF"/>
            <w:vAlign w:val="center"/>
            <w:hideMark/>
          </w:tcPr>
          <w:p w14:paraId="4786B48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9</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14:paraId="15C770D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10</w:t>
            </w:r>
          </w:p>
        </w:tc>
        <w:tc>
          <w:tcPr>
            <w:tcW w:w="227" w:type="pct"/>
            <w:tcBorders>
              <w:top w:val="single" w:sz="4" w:space="0" w:color="auto"/>
              <w:left w:val="nil"/>
              <w:bottom w:val="single" w:sz="4" w:space="0" w:color="auto"/>
              <w:right w:val="single" w:sz="4" w:space="0" w:color="auto"/>
            </w:tcBorders>
            <w:shd w:val="clear" w:color="000000" w:fill="FFFFFF"/>
            <w:vAlign w:val="center"/>
            <w:hideMark/>
          </w:tcPr>
          <w:p w14:paraId="1F408F8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11</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0ACEA9A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12</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54E1D7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13</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0CD3CD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14</w:t>
            </w:r>
          </w:p>
        </w:tc>
        <w:tc>
          <w:tcPr>
            <w:tcW w:w="195" w:type="pct"/>
            <w:tcBorders>
              <w:top w:val="single" w:sz="4" w:space="0" w:color="auto"/>
              <w:left w:val="nil"/>
              <w:bottom w:val="single" w:sz="4" w:space="0" w:color="auto"/>
              <w:right w:val="single" w:sz="4" w:space="0" w:color="auto"/>
            </w:tcBorders>
            <w:shd w:val="clear" w:color="000000" w:fill="FFFFFF"/>
            <w:vAlign w:val="center"/>
            <w:hideMark/>
          </w:tcPr>
          <w:p w14:paraId="2CA4D3F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15</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14:paraId="4A63560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16</w:t>
            </w:r>
          </w:p>
        </w:tc>
        <w:tc>
          <w:tcPr>
            <w:tcW w:w="263" w:type="pct"/>
            <w:tcBorders>
              <w:top w:val="single" w:sz="4" w:space="0" w:color="auto"/>
              <w:left w:val="nil"/>
              <w:bottom w:val="single" w:sz="4" w:space="0" w:color="auto"/>
              <w:right w:val="single" w:sz="4" w:space="0" w:color="auto"/>
            </w:tcBorders>
            <w:shd w:val="clear" w:color="000000" w:fill="FFFFFF"/>
            <w:vAlign w:val="center"/>
            <w:hideMark/>
          </w:tcPr>
          <w:p w14:paraId="5FE770E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 xml:space="preserve"> 17</w:t>
            </w:r>
          </w:p>
        </w:tc>
        <w:tc>
          <w:tcPr>
            <w:tcW w:w="321" w:type="pct"/>
            <w:tcBorders>
              <w:top w:val="single" w:sz="4" w:space="0" w:color="auto"/>
              <w:left w:val="nil"/>
              <w:bottom w:val="single" w:sz="4" w:space="0" w:color="auto"/>
              <w:right w:val="single" w:sz="4" w:space="0" w:color="auto"/>
            </w:tcBorders>
            <w:shd w:val="clear" w:color="000000" w:fill="FFFFFF"/>
          </w:tcPr>
          <w:p w14:paraId="4CE42B0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p>
        </w:tc>
      </w:tr>
      <w:tr w:rsidR="00EE4BF0" w:rsidRPr="00E85D55" w14:paraId="4AFCAC35" w14:textId="77777777" w:rsidTr="007D1DAE">
        <w:trPr>
          <w:cantSplit/>
          <w:trHeight w:val="1201"/>
        </w:trPr>
        <w:tc>
          <w:tcPr>
            <w:tcW w:w="104" w:type="pct"/>
            <w:vMerge/>
            <w:tcBorders>
              <w:left w:val="single" w:sz="4" w:space="0" w:color="auto"/>
              <w:bottom w:val="single" w:sz="4" w:space="0" w:color="auto"/>
              <w:right w:val="single" w:sz="4" w:space="0" w:color="auto"/>
            </w:tcBorders>
            <w:shd w:val="clear" w:color="000000" w:fill="FFFFFF"/>
            <w:noWrap/>
            <w:vAlign w:val="center"/>
            <w:hideMark/>
          </w:tcPr>
          <w:p w14:paraId="4BF62BE3"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p>
        </w:tc>
        <w:tc>
          <w:tcPr>
            <w:tcW w:w="880" w:type="pct"/>
            <w:vMerge/>
            <w:tcBorders>
              <w:top w:val="single" w:sz="4" w:space="0" w:color="auto"/>
              <w:left w:val="single" w:sz="4" w:space="0" w:color="auto"/>
              <w:bottom w:val="single" w:sz="4" w:space="0" w:color="000000"/>
              <w:right w:val="single" w:sz="4" w:space="0" w:color="auto"/>
            </w:tcBorders>
            <w:vAlign w:val="center"/>
            <w:hideMark/>
          </w:tcPr>
          <w:p w14:paraId="3DFE8FF6" w14:textId="77777777" w:rsidR="00EE4BF0" w:rsidRPr="00E85D55" w:rsidRDefault="00EE4BF0" w:rsidP="007D1DAE">
            <w:pPr>
              <w:spacing w:after="0" w:line="480" w:lineRule="auto"/>
              <w:rPr>
                <w:rFonts w:ascii="Times New Roman" w:eastAsia="Times New Roman" w:hAnsi="Times New Roman"/>
                <w:color w:val="000000"/>
                <w:sz w:val="20"/>
                <w:szCs w:val="20"/>
                <w:lang w:eastAsia="fr-FR"/>
              </w:rPr>
            </w:pPr>
          </w:p>
        </w:tc>
        <w:tc>
          <w:tcPr>
            <w:tcW w:w="180" w:type="pct"/>
            <w:tcBorders>
              <w:top w:val="nil"/>
              <w:left w:val="nil"/>
              <w:bottom w:val="single" w:sz="4" w:space="0" w:color="auto"/>
              <w:right w:val="single" w:sz="4" w:space="0" w:color="auto"/>
            </w:tcBorders>
            <w:shd w:val="clear" w:color="000000" w:fill="FFFFFF"/>
            <w:textDirection w:val="btLr"/>
            <w:vAlign w:val="center"/>
            <w:hideMark/>
          </w:tcPr>
          <w:p w14:paraId="69E5AACE"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Rothman </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(2008)</w:t>
            </w:r>
          </w:p>
        </w:tc>
        <w:tc>
          <w:tcPr>
            <w:tcW w:w="192" w:type="pct"/>
            <w:tcBorders>
              <w:top w:val="nil"/>
              <w:left w:val="nil"/>
              <w:bottom w:val="single" w:sz="4" w:space="0" w:color="auto"/>
              <w:right w:val="single" w:sz="4" w:space="0" w:color="auto"/>
            </w:tcBorders>
            <w:shd w:val="clear" w:color="000000" w:fill="FFFFFF"/>
            <w:textDirection w:val="btLr"/>
            <w:vAlign w:val="center"/>
            <w:hideMark/>
          </w:tcPr>
          <w:p w14:paraId="2AD683E5"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Rochat</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(2010)</w:t>
            </w:r>
          </w:p>
        </w:tc>
        <w:tc>
          <w:tcPr>
            <w:tcW w:w="192" w:type="pct"/>
            <w:tcBorders>
              <w:top w:val="nil"/>
              <w:left w:val="nil"/>
              <w:bottom w:val="single" w:sz="4" w:space="0" w:color="auto"/>
              <w:right w:val="single" w:sz="4" w:space="0" w:color="auto"/>
            </w:tcBorders>
            <w:shd w:val="clear" w:color="000000" w:fill="FFFFFF"/>
            <w:textDirection w:val="btLr"/>
            <w:vAlign w:val="center"/>
            <w:hideMark/>
          </w:tcPr>
          <w:p w14:paraId="028EA09E"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Gobbens </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226" w:type="pct"/>
            <w:tcBorders>
              <w:top w:val="nil"/>
              <w:left w:val="nil"/>
              <w:bottom w:val="single" w:sz="4" w:space="0" w:color="auto"/>
              <w:right w:val="single" w:sz="4" w:space="0" w:color="auto"/>
            </w:tcBorders>
            <w:shd w:val="clear" w:color="000000" w:fill="FFFFFF"/>
            <w:textDirection w:val="btLr"/>
            <w:vAlign w:val="center"/>
            <w:hideMark/>
          </w:tcPr>
          <w:p w14:paraId="34B47842"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Hoeck</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173" w:type="pct"/>
            <w:tcBorders>
              <w:top w:val="nil"/>
              <w:left w:val="nil"/>
              <w:bottom w:val="single" w:sz="4" w:space="0" w:color="auto"/>
              <w:right w:val="single" w:sz="4" w:space="0" w:color="auto"/>
            </w:tcBorders>
            <w:shd w:val="clear" w:color="000000" w:fill="FFFFFF"/>
            <w:textDirection w:val="btLr"/>
            <w:vAlign w:val="center"/>
            <w:hideMark/>
          </w:tcPr>
          <w:p w14:paraId="0A7651ED"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Hogan</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(2012)</w:t>
            </w:r>
          </w:p>
        </w:tc>
        <w:tc>
          <w:tcPr>
            <w:tcW w:w="190" w:type="pct"/>
            <w:tcBorders>
              <w:top w:val="nil"/>
              <w:left w:val="nil"/>
              <w:bottom w:val="single" w:sz="4" w:space="0" w:color="auto"/>
              <w:right w:val="single" w:sz="4" w:space="0" w:color="auto"/>
            </w:tcBorders>
            <w:shd w:val="clear" w:color="000000" w:fill="FFFFFF"/>
            <w:textDirection w:val="btLr"/>
            <w:vAlign w:val="center"/>
            <w:hideMark/>
          </w:tcPr>
          <w:p w14:paraId="7831A253"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Schoufour</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(2014)</w:t>
            </w:r>
          </w:p>
        </w:tc>
        <w:tc>
          <w:tcPr>
            <w:tcW w:w="173" w:type="pct"/>
            <w:tcBorders>
              <w:top w:val="nil"/>
              <w:left w:val="nil"/>
              <w:bottom w:val="single" w:sz="4" w:space="0" w:color="auto"/>
              <w:right w:val="single" w:sz="4" w:space="0" w:color="auto"/>
            </w:tcBorders>
            <w:shd w:val="clear" w:color="000000" w:fill="FFFFFF"/>
            <w:textDirection w:val="btLr"/>
            <w:vAlign w:val="center"/>
            <w:hideMark/>
          </w:tcPr>
          <w:p w14:paraId="232D30F5"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Hirani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(2015)</w:t>
            </w:r>
          </w:p>
        </w:tc>
        <w:tc>
          <w:tcPr>
            <w:tcW w:w="173" w:type="pct"/>
            <w:tcBorders>
              <w:top w:val="nil"/>
              <w:left w:val="nil"/>
              <w:bottom w:val="single" w:sz="4" w:space="0" w:color="auto"/>
              <w:right w:val="single" w:sz="4" w:space="0" w:color="auto"/>
            </w:tcBorders>
            <w:shd w:val="clear" w:color="000000" w:fill="FFFFFF"/>
            <w:textDirection w:val="btLr"/>
            <w:vAlign w:val="center"/>
            <w:hideMark/>
          </w:tcPr>
          <w:p w14:paraId="17BBE293"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Bentur</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194" w:type="pct"/>
            <w:tcBorders>
              <w:top w:val="nil"/>
              <w:left w:val="nil"/>
              <w:bottom w:val="single" w:sz="4" w:space="0" w:color="auto"/>
              <w:right w:val="single" w:sz="4" w:space="0" w:color="auto"/>
            </w:tcBorders>
            <w:shd w:val="clear" w:color="000000" w:fill="FFFFFF"/>
            <w:textDirection w:val="btLr"/>
            <w:vAlign w:val="center"/>
            <w:hideMark/>
          </w:tcPr>
          <w:p w14:paraId="1DEFE464"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Bock</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29" w:type="pct"/>
            <w:tcBorders>
              <w:top w:val="nil"/>
              <w:left w:val="nil"/>
              <w:bottom w:val="single" w:sz="4" w:space="0" w:color="auto"/>
              <w:right w:val="single" w:sz="4" w:space="0" w:color="auto"/>
            </w:tcBorders>
            <w:shd w:val="clear" w:color="000000" w:fill="FFFFFF"/>
            <w:textDirection w:val="btLr"/>
            <w:vAlign w:val="center"/>
            <w:hideMark/>
          </w:tcPr>
          <w:p w14:paraId="171992A4"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Butler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eastAsia="fr-FR"/>
              </w:rPr>
              <w:t xml:space="preserve"> (2016)</w:t>
            </w:r>
          </w:p>
        </w:tc>
        <w:tc>
          <w:tcPr>
            <w:tcW w:w="227" w:type="pct"/>
            <w:tcBorders>
              <w:top w:val="nil"/>
              <w:left w:val="nil"/>
              <w:bottom w:val="single" w:sz="4" w:space="0" w:color="auto"/>
              <w:right w:val="single" w:sz="4" w:space="0" w:color="auto"/>
            </w:tcBorders>
            <w:shd w:val="clear" w:color="000000" w:fill="FFFFFF"/>
            <w:textDirection w:val="btLr"/>
            <w:vAlign w:val="center"/>
            <w:hideMark/>
          </w:tcPr>
          <w:p w14:paraId="4B1B6DE7"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Campitelli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64" w:type="pct"/>
            <w:tcBorders>
              <w:top w:val="nil"/>
              <w:left w:val="nil"/>
              <w:bottom w:val="single" w:sz="4" w:space="0" w:color="auto"/>
              <w:right w:val="single" w:sz="4" w:space="0" w:color="auto"/>
            </w:tcBorders>
            <w:shd w:val="clear" w:color="000000" w:fill="FFFFFF"/>
            <w:textDirection w:val="btLr"/>
            <w:vAlign w:val="center"/>
            <w:hideMark/>
          </w:tcPr>
          <w:p w14:paraId="765405F7"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Kelaiditi</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(2016)</w:t>
            </w:r>
          </w:p>
        </w:tc>
        <w:tc>
          <w:tcPr>
            <w:tcW w:w="264" w:type="pct"/>
            <w:tcBorders>
              <w:top w:val="nil"/>
              <w:left w:val="nil"/>
              <w:bottom w:val="single" w:sz="4" w:space="0" w:color="auto"/>
              <w:right w:val="single" w:sz="4" w:space="0" w:color="auto"/>
            </w:tcBorders>
            <w:shd w:val="clear" w:color="000000" w:fill="FFFFFF"/>
            <w:textDirection w:val="btLr"/>
            <w:vAlign w:val="center"/>
            <w:hideMark/>
          </w:tcPr>
          <w:p w14:paraId="1075C6C6"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Gonzalez-Colaço</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(2017)</w:t>
            </w:r>
          </w:p>
        </w:tc>
        <w:tc>
          <w:tcPr>
            <w:tcW w:w="331" w:type="pct"/>
            <w:tcBorders>
              <w:top w:val="nil"/>
              <w:left w:val="nil"/>
              <w:bottom w:val="single" w:sz="4" w:space="0" w:color="auto"/>
              <w:right w:val="single" w:sz="4" w:space="0" w:color="auto"/>
            </w:tcBorders>
            <w:shd w:val="clear" w:color="auto" w:fill="auto"/>
            <w:textDirection w:val="btLr"/>
            <w:vAlign w:val="center"/>
            <w:hideMark/>
          </w:tcPr>
          <w:p w14:paraId="11575F17"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Ferrante</w:t>
            </w:r>
            <w:r>
              <w:rPr>
                <w:rFonts w:ascii="Times New Roman" w:eastAsia="Times New Roman" w:hAnsi="Times New Roman"/>
                <w:color w:val="000000"/>
                <w:sz w:val="18"/>
                <w:szCs w:val="20"/>
                <w:lang w:eastAsia="fr-FR"/>
              </w:rPr>
              <w:t xml:space="preserve"> et al.</w:t>
            </w:r>
            <w:r w:rsidRPr="00E85D55">
              <w:rPr>
                <w:rFonts w:ascii="Times New Roman" w:eastAsia="Times New Roman" w:hAnsi="Times New Roman"/>
                <w:color w:val="000000"/>
                <w:sz w:val="18"/>
                <w:szCs w:val="20"/>
                <w:lang w:eastAsia="fr-FR"/>
              </w:rPr>
              <w:t xml:space="preserve"> (2018)</w:t>
            </w:r>
          </w:p>
        </w:tc>
        <w:tc>
          <w:tcPr>
            <w:tcW w:w="195" w:type="pct"/>
            <w:tcBorders>
              <w:top w:val="nil"/>
              <w:left w:val="nil"/>
              <w:bottom w:val="single" w:sz="4" w:space="0" w:color="auto"/>
              <w:right w:val="single" w:sz="4" w:space="0" w:color="auto"/>
            </w:tcBorders>
            <w:shd w:val="clear" w:color="auto" w:fill="auto"/>
            <w:textDirection w:val="btLr"/>
            <w:vAlign w:val="center"/>
            <w:hideMark/>
          </w:tcPr>
          <w:p w14:paraId="5FE7C1EE"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eastAsia="fr-FR"/>
              </w:rPr>
              <w:t xml:space="preserve">Hajek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eastAsia="fr-FR"/>
              </w:rPr>
              <w:t xml:space="preserve"> (2018)</w:t>
            </w:r>
          </w:p>
        </w:tc>
        <w:tc>
          <w:tcPr>
            <w:tcW w:w="229" w:type="pct"/>
            <w:tcBorders>
              <w:top w:val="nil"/>
              <w:left w:val="nil"/>
              <w:bottom w:val="single" w:sz="4" w:space="0" w:color="auto"/>
              <w:right w:val="single" w:sz="4" w:space="0" w:color="auto"/>
            </w:tcBorders>
            <w:shd w:val="clear" w:color="auto" w:fill="auto"/>
            <w:textDirection w:val="btLr"/>
            <w:vAlign w:val="center"/>
            <w:hideMark/>
          </w:tcPr>
          <w:p w14:paraId="5907B9BA"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val="en-US" w:eastAsia="fr-FR"/>
              </w:rPr>
              <w:t xml:space="preserve">Lambotte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val="en-US" w:eastAsia="fr-FR"/>
              </w:rPr>
              <w:t xml:space="preserve"> (2018)</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186CEE7D"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18"/>
                <w:szCs w:val="20"/>
                <w:lang w:val="en-US" w:eastAsia="fr-FR"/>
              </w:rPr>
              <w:t xml:space="preserve">Verve </w:t>
            </w:r>
            <w:r>
              <w:rPr>
                <w:rFonts w:ascii="Times New Roman" w:eastAsia="Times New Roman" w:hAnsi="Times New Roman"/>
                <w:color w:val="000000"/>
                <w:sz w:val="18"/>
                <w:szCs w:val="20"/>
                <w:lang w:val="en-US" w:eastAsia="fr-FR"/>
              </w:rPr>
              <w:t xml:space="preserve"> </w:t>
            </w:r>
            <w:r>
              <w:rPr>
                <w:rFonts w:ascii="Times New Roman" w:eastAsia="Times New Roman" w:hAnsi="Times New Roman"/>
                <w:color w:val="000000"/>
                <w:sz w:val="18"/>
                <w:szCs w:val="20"/>
                <w:lang w:eastAsia="fr-FR"/>
              </w:rPr>
              <w:t>et al.</w:t>
            </w:r>
            <w:r w:rsidRPr="00E85D55">
              <w:rPr>
                <w:rFonts w:ascii="Times New Roman" w:eastAsia="Times New Roman" w:hAnsi="Times New Roman"/>
                <w:color w:val="000000"/>
                <w:sz w:val="18"/>
                <w:szCs w:val="20"/>
                <w:lang w:val="en-US" w:eastAsia="fr-FR"/>
              </w:rPr>
              <w:t xml:space="preserve"> (2018)</w:t>
            </w:r>
          </w:p>
        </w:tc>
        <w:tc>
          <w:tcPr>
            <w:tcW w:w="321" w:type="pct"/>
            <w:tcBorders>
              <w:top w:val="nil"/>
              <w:left w:val="nil"/>
              <w:bottom w:val="single" w:sz="4" w:space="0" w:color="auto"/>
              <w:right w:val="single" w:sz="4" w:space="0" w:color="auto"/>
            </w:tcBorders>
            <w:textDirection w:val="btLr"/>
          </w:tcPr>
          <w:p w14:paraId="2605E3B0" w14:textId="77777777" w:rsidR="00EE4BF0" w:rsidRPr="00E85D55" w:rsidRDefault="00EE4BF0" w:rsidP="007D1DAE">
            <w:pPr>
              <w:spacing w:after="0" w:line="240" w:lineRule="auto"/>
              <w:ind w:left="113" w:right="113"/>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val="en-US" w:eastAsia="fr-FR"/>
              </w:rPr>
              <w:t>Number of studies coded 1</w:t>
            </w:r>
          </w:p>
        </w:tc>
      </w:tr>
      <w:tr w:rsidR="00EE4BF0" w:rsidRPr="00E85D55" w14:paraId="5F00B967" w14:textId="77777777" w:rsidTr="007D1DAE">
        <w:trPr>
          <w:cantSplit/>
          <w:trHeight w:val="431"/>
        </w:trPr>
        <w:tc>
          <w:tcPr>
            <w:tcW w:w="104" w:type="pct"/>
            <w:tcBorders>
              <w:left w:val="single" w:sz="4" w:space="0" w:color="auto"/>
              <w:bottom w:val="single" w:sz="4" w:space="0" w:color="auto"/>
              <w:right w:val="single" w:sz="4" w:space="0" w:color="auto"/>
            </w:tcBorders>
            <w:shd w:val="clear" w:color="000000" w:fill="FFFFFF"/>
            <w:noWrap/>
            <w:vAlign w:val="center"/>
          </w:tcPr>
          <w:p w14:paraId="5A673BD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p>
        </w:tc>
        <w:tc>
          <w:tcPr>
            <w:tcW w:w="880" w:type="pct"/>
            <w:tcBorders>
              <w:top w:val="single" w:sz="4" w:space="0" w:color="auto"/>
              <w:left w:val="single" w:sz="4" w:space="0" w:color="auto"/>
              <w:bottom w:val="single" w:sz="4" w:space="0" w:color="000000"/>
              <w:right w:val="single" w:sz="4" w:space="0" w:color="auto"/>
            </w:tcBorders>
            <w:vAlign w:val="center"/>
          </w:tcPr>
          <w:p w14:paraId="457008C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Reference number</w:t>
            </w:r>
          </w:p>
        </w:tc>
        <w:tc>
          <w:tcPr>
            <w:tcW w:w="180" w:type="pct"/>
            <w:tcBorders>
              <w:top w:val="nil"/>
              <w:left w:val="nil"/>
              <w:bottom w:val="single" w:sz="4" w:space="0" w:color="auto"/>
              <w:right w:val="single" w:sz="4" w:space="0" w:color="auto"/>
            </w:tcBorders>
            <w:shd w:val="clear" w:color="000000" w:fill="FFFFFF"/>
            <w:textDirection w:val="btLr"/>
            <w:vAlign w:val="center"/>
          </w:tcPr>
          <w:p w14:paraId="760E0B1D"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XjsvhU7n","properties":{"formattedCitation":"[15]","plainCitation":"[15]","noteIndex":0},"citationItems":[{"id":"Tlgz5ME1/Q2rA0b6m","uris":["http://zotero.org/groups/2323309/items/9RQJKD2K"],"uri":["http://zotero.org/groups/2323309/items/9RQJKD2K"],"itemData":{"id":"Tlgz5ME1/Q2rA0b6m","type":"article-journal","abstract":"To determine the independent prognostic effect of seven potential frailty criteria, including five from the Fried phenotype, on several adverse outcomes. Prospective cohort study. Greater New Haven, Connecticut. Seven hundred fifty-four initially nondisabled, community-living persons aged 70 and older. An assessment of seven potential frailty criteria (slow gait speed, low physical activity, weight loss, exhaustion, weakness, cognitive impairment, and depressive symptoms) was completed at baseline and every 18 months for 72 months. Participants were followed with monthly telephone interviews for up to 96 months to determine the occurrence of chronic disability, long-term nursing home (NH) stays, injurious falls, and death. In analyses adjusted for age, sex, race, education, number of chronic conditions, and the presence of the other potential frailty criteria, three of the five Fried criteria (slow gait speed, low physical activity, and weight loss) were independently associated with chronic disability, long-term NH stays, and death. Slow gait speed was the strongest predictor of chronic disability (hazard ratio (HR)=2.97, 95% confidence interval (CI)=2.32-3.80) and long-term NH stay (HR=3.86, 95% CI=2.23-6.67) and was the only significant predictor of injurious falls (HR=2.19, 95% CI=1.33-3.60). Cognitive impairment was also associated with chronic disability (HR=1.82, 95% CI=1.40-2.38), long-term NH stay (HR=2.64, 95% CI=1.75-3.99), and death (HR=1.54, 95% CI=1.13-2.10), and the magnitude of these associations was comparable with that of weight loss. The results of this study provide strong evidence to support the use of slow gait speed, low physical activity, weight loss, and cognitive impairment as key indicators of frailty while raising concerns about the value of self-reported exhaustion and muscle weakness.","container-title":"JOURNAL OF THE AMERICAN GERIATRICS SOCIETY","DOI":"10.1111/j.1532-5415.2008.02008.x","ISSN":"0002-8614","issue":"12","page":"2211-2216","title":"Prognostic Significance of Potential Frailty Criteria","volume":"56","author":[{"family":"Rothman","given":"Marc D."},{"family":"Leo-Summers","given":"Linda"},{"family":"Gill","given":"Thomas M."}],"issued":{"date-parts":[["2008",12]]}}}],"schema":"https://github.com/citation-style-language/schema/raw/master/csl-citation.json"}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[15]</w:t>
            </w:r>
            <w:r>
              <w:rPr>
                <w:rFonts w:ascii="Times New Roman" w:eastAsia="Times New Roman" w:hAnsi="Times New Roman"/>
                <w:color w:val="000000"/>
                <w:sz w:val="18"/>
                <w:szCs w:val="20"/>
                <w:lang w:eastAsia="fr-FR"/>
              </w:rPr>
              <w:fldChar w:fldCharType="end"/>
            </w:r>
          </w:p>
        </w:tc>
        <w:tc>
          <w:tcPr>
            <w:tcW w:w="192" w:type="pct"/>
            <w:tcBorders>
              <w:top w:val="nil"/>
              <w:left w:val="nil"/>
              <w:bottom w:val="single" w:sz="4" w:space="0" w:color="auto"/>
              <w:right w:val="single" w:sz="4" w:space="0" w:color="auto"/>
            </w:tcBorders>
            <w:shd w:val="clear" w:color="000000" w:fill="FFFFFF"/>
            <w:textDirection w:val="btLr"/>
            <w:vAlign w:val="center"/>
          </w:tcPr>
          <w:p w14:paraId="13CD60A8"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rtXb25jT","properties":{"formattedCitation":"[16]","plainCitation":"[16]","noteIndex":0},"citationItems":[{"id":"Tlgz5ME1/JRVJnGsw","uris":["http://zotero.org/groups/2323309/items/XXJZHIEI"],"uri":["http://zotero.org/groups/2323309/items/XXJZHIEI"],"itemData":{"id":"Tlgz5ME1/JRVJnGsw","type":"article-journal","container-title":"AGE AND AGEING","DOI":"10.1093/ageing/afp257","ISSN":"0002-0729","issue":"2","page":"228-233","title":"Frailty and use of health and community services by community-dwelling older men: the Concord Health and Ageing in Men Project","volume":"39","author":[{"family":"Rochat","given":"Stephane"},{"family":"Cumming","given":"Robert G."},{"family":"Blyth","given":"Fiona"},{"family":"Creasey","given":"Helen"},{"family":"Handelsman","given":"David"},{"family":"Le Couteur","given":"David G."},{"family":"Naganathan","given":"Vasi"},{"family":"Sambrook","given":"Philip N."},{"family":"Seibel","given":"Markus J."},{"family":"Waite","given":"Louise"}],"issued":{"date-parts":[["2010",3]]}}}],"schema":"https://github.com/citation-style-language/schema/raw/master/csl-citation.json"}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[16]</w:t>
            </w:r>
            <w:r>
              <w:rPr>
                <w:rFonts w:ascii="Times New Roman" w:eastAsia="Times New Roman" w:hAnsi="Times New Roman"/>
                <w:color w:val="000000"/>
                <w:sz w:val="18"/>
                <w:szCs w:val="20"/>
                <w:lang w:eastAsia="fr-FR"/>
              </w:rPr>
              <w:fldChar w:fldCharType="end"/>
            </w:r>
          </w:p>
        </w:tc>
        <w:tc>
          <w:tcPr>
            <w:tcW w:w="192" w:type="pct"/>
            <w:tcBorders>
              <w:top w:val="nil"/>
              <w:left w:val="nil"/>
              <w:bottom w:val="single" w:sz="4" w:space="0" w:color="auto"/>
              <w:right w:val="single" w:sz="4" w:space="0" w:color="auto"/>
            </w:tcBorders>
            <w:shd w:val="clear" w:color="000000" w:fill="FFFFFF"/>
            <w:textDirection w:val="btLr"/>
            <w:vAlign w:val="center"/>
          </w:tcPr>
          <w:p w14:paraId="4901D018"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Z76UAV7i","properties":{"formattedCitation":"[17]","plainCitation":"[17]","noteIndex":0},"citationItems":[{"id":"Tlgz5ME1/HfuYan15","uris":["http://zotero.org/groups/2323309/items/64THRMTJ"],"uri":["http://zotero.org/groups/2323309/items/64THRMTJ"],"itemData":{"id":"Tlgz5ME1/HfuYan15","type":"article-journal","abstract":"Abstract.  Purpose: To assess the predictive validity of frailty and its domains (physical, psychological, and social), as measured by the Tilburg Frailty Indic","container-title":"The Gerontologist","DOI":"10.1093/geront/gnr135","ISSN":"0016-9013","issue":"5","journalAbbreviation":"Gerontologist","language":"en","page":"619-631","source":"academic.oup.com","title":"The Predictive Validity of the Tilburg Frailty Indicator: Disability, Health Care Utilization, and Quality of Life in a Population at Risk","title-short":"The Predictive Validity of the Tilburg Frailty Indicator","volume":"52","author":[{"family":"Gobbens","given":"Robbert J. J."},{"family":"Assen","given":"Marcel A. L. M.","non-dropping-particle":"van"},{"family":"Luijkx","given":"Katrien G."},{"family":"Schols","given":"Jos M. G. A."}],"issued":{"date-parts":[["2012",10,1]]}}}],"schema":"https://github.com/citation-style-language/schema/raw/master/csl-citation.json"}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[17]</w:t>
            </w:r>
            <w:r>
              <w:rPr>
                <w:rFonts w:ascii="Times New Roman" w:eastAsia="Times New Roman" w:hAnsi="Times New Roman"/>
                <w:color w:val="000000"/>
                <w:sz w:val="18"/>
                <w:szCs w:val="20"/>
                <w:lang w:eastAsia="fr-FR"/>
              </w:rPr>
              <w:fldChar w:fldCharType="end"/>
            </w:r>
          </w:p>
        </w:tc>
        <w:tc>
          <w:tcPr>
            <w:tcW w:w="226" w:type="pct"/>
            <w:tcBorders>
              <w:top w:val="nil"/>
              <w:left w:val="nil"/>
              <w:bottom w:val="single" w:sz="4" w:space="0" w:color="auto"/>
              <w:right w:val="single" w:sz="4" w:space="0" w:color="auto"/>
            </w:tcBorders>
            <w:shd w:val="clear" w:color="000000" w:fill="FFFFFF"/>
            <w:textDirection w:val="btLr"/>
            <w:vAlign w:val="center"/>
          </w:tcPr>
          <w:p w14:paraId="6598F1FF"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hEf2o00r","properties":{"formattedCitation":"[18]","plainCitation":"[18]","noteIndex":0},"citationItems":[{"id":"Tlgz5ME1/OpNdfn6D","uris":["http://zotero.org/groups/2323309/items/GIB375SX"],"uri":["http://zotero.org/groups/2323309/items/GIB375SX"],"itemData":{"id":"Tlgz5ME1/OpNdfn6D","type":"article-journal","abstract":"Background: The patterns of health- and home-care utilization among Belgian frail elderly persons living at home with varying socio-economic status are currently unknown. Methods: In this cross-sectional study based on a representative sample of 4777 elderly participants (epsilon 65 years) in the Belgian Health Interview Survey the prevalence of frailty, as determined by items referring to the Fried phenotype, was estimated according to age, gender, comorbidity, place of residence, survey year, living situation and socio-economic status. Differing health-care utilization [contacts with a general practitioner (GP), specialist and emergency department; and hospital admission) and home-care utilization (home nursing, home help and meals-on-wheels] patterns among the frail, prefrail and robust subpopulations were examined. Results: Overall, 9.3% respondents (426) were classified as frail, 30.7% (1636) as prefrail and 60.0% (2715) as robust. Frailty was associated with age, gender, comorbidity, region, survey year and socio-economic status. The frail and prefrail groups were more likely than the robust to contact a GP, a specialist or an emergency department and were more likely to be admitted to hospital, independent of age, gender, comorbidity, survey year, living situation, region and socio-economic status. They were also more likely to appeal to home nursing, home help and meals-on-wheels than the robust participants. Conclusion: Even after adjustment for potential confounders, including age, gender and comorbidity, frailty among Belgian elderly persons is associated with their socio-economic status and is strongly associated with their health- and home-care utilization.","container-title":"European Journal of Public Health","DOI":"10.1093/eurpub/ckr133","ISSN":"1101-1262","issue":"5","page":"671-677","title":"Health-care and home-care utilization among frail elderly persons in Belgium","volume":"22","author":[{"family":"Hoeck","given":"Sarah"},{"family":"Francois","given":"Guido"},{"family":"Geerts","given":"Joanna"},{"family":"Van der Heyden","given":"Johan"},{"family":"Vandewoude","given":"Maurits"},{"family":"Van Hal","given":"Guido"}],"issued":{"date-parts":[["2012",10]]}}}],"schema":"https://github.com/citation-style-language/schema/raw/master/csl-citation.json"}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rPr>
              <w:t>[18]</w:t>
            </w:r>
            <w:r>
              <w:rPr>
                <w:rFonts w:ascii="Times New Roman" w:eastAsia="Times New Roman" w:hAnsi="Times New Roman"/>
                <w:color w:val="000000"/>
                <w:sz w:val="18"/>
                <w:szCs w:val="20"/>
                <w:lang w:eastAsia="fr-FR"/>
              </w:rPr>
              <w:fldChar w:fldCharType="end"/>
            </w:r>
          </w:p>
        </w:tc>
        <w:tc>
          <w:tcPr>
            <w:tcW w:w="173" w:type="pct"/>
            <w:tcBorders>
              <w:top w:val="nil"/>
              <w:left w:val="nil"/>
              <w:bottom w:val="single" w:sz="4" w:space="0" w:color="auto"/>
              <w:right w:val="single" w:sz="4" w:space="0" w:color="auto"/>
            </w:tcBorders>
            <w:shd w:val="clear" w:color="000000" w:fill="FFFFFF"/>
            <w:textDirection w:val="btLr"/>
            <w:vAlign w:val="center"/>
          </w:tcPr>
          <w:p w14:paraId="3788B634"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eastAsia="fr-FR"/>
              </w:rPr>
              <w:fldChar w:fldCharType="begin"/>
            </w:r>
            <w:r>
              <w:rPr>
                <w:rFonts w:ascii="Times New Roman" w:eastAsia="Times New Roman" w:hAnsi="Times New Roman"/>
                <w:color w:val="000000"/>
                <w:sz w:val="18"/>
                <w:szCs w:val="20"/>
                <w:lang w:eastAsia="fr-FR"/>
              </w:rPr>
              <w:instrText xml:space="preserve"> ADDIN ZOTERO_ITEM CSL_CITATION {"citationID":"vg9vxmFs","properties":{"formattedCitation":"[27]","plainCitation":"[27]","noteIndex":0},"citationItems":[{"id":"Tlgz5ME1/GHhOopBs","uris":["http://zotero.org/groups/2323309/items/QJV3BDZA"],"uri":["http://zotero.org/groups/2323309/items/QJV3BDZA"],"itemData":{"id":"Tlgz5ME1/GHhOopBs","type":"article-journal","abstract":"Background: Few studies have directly compared the competing approaches to identifying frailty in more vulnerable older populations. We examined the ability of two versions of a frailty index (43 vs. 83 items), the Cardiovascular Health Study (CHS) frailty criteria, and the CHESS scale to accurately predict the occurrence of three outcomes among Assisted Living (AL) residents followed over one year. Methods: The three frailty measures and the CHESS scale were derived from assessment items completed among 1,066 AL residents (aged 65+) participating in the Alberta Continuing Care Epidemiological Studies (ACCES). Adjusted risks of one-year mortality, hospitalization and long-term care placement were estimated for those categorized as frail or pre-frail compared with non-frail (or at high/intermediate vs. low risk on CHESS). The area under the ROC curve (AUC) was calculated for select models to assess the predictive accuracy of the different frailty measures and CHESS scale in relation to the three outcomes examined. Results: Frail subjects defined by the three approaches and those at high risk for decline on CHESS showed a statistically significant increased risk for death and long-term care placement compared with those categorized as either not frail or at low risk for decline. The risk estimates for hospitalization associated with the frailty measures and CHESS were generally weaker with one of the frailty indices (43 items) showing no significant association. For death and long-term care placement, the addition</w:instrText>
            </w:r>
            <w:r w:rsidRPr="008C0A90">
              <w:rPr>
                <w:rFonts w:ascii="Times New Roman" w:eastAsia="Times New Roman" w:hAnsi="Times New Roman"/>
                <w:color w:val="000000"/>
                <w:sz w:val="18"/>
                <w:szCs w:val="20"/>
                <w:lang w:val="en-US" w:eastAsia="fr-FR"/>
              </w:rPr>
              <w:instrText xml:space="preserve"> of frailty (however derived) or CHESS significantly improved on the AUC obtained with a model including only age, sex and co-morbidity, though the magnitude of improvement was sometimes small. The different frailty/risk models did not differ significantly from each other in predicting mortality or hospitalization; however, one of the frailty indices (83 items) showed significantly better performance over the other measures in predicting long-term care placement. Conclusions: Using different approaches, varying degrees of frailty were detected within the AL population. The various approaches to defining frailty were generally more similar than dissimilar with regard to predictive accuracy with some exceptions. The clinical implications and opportunities of detecting frailty in more vulnerable older adults require further investigation.","container-title":"BMC GERIATRICS","DOI":"10.1186/1471-2318-12-56","ISSN":"1471-2318","title":"Comparing frailty measures in their ability to predict adverse outcome among older residents of assisted living","volume":"12","author":[{"family":"Hogan","given":"David B."},{"family":"Freiheit","given":"Elizabeth A."},{"family":"Strain","given":"Laurel A."},{"family":"Patten","given":"Scott B."},{"family":"Schmaltz","given":"Heidi N."},{"family":"Rolfson","given":"Darryl"},{"family":"Maxwell","given":"Colleen J."}],"issued":{"date-parts":[["2012",9,14]]}}}],"schema":"https://github.com/citation-style-language/schema/raw/master/csl-citation.json"} </w:instrText>
            </w:r>
            <w:r>
              <w:rPr>
                <w:rFonts w:ascii="Times New Roman" w:eastAsia="Times New Roman" w:hAnsi="Times New Roman"/>
                <w:color w:val="000000"/>
                <w:sz w:val="18"/>
                <w:szCs w:val="20"/>
                <w:lang w:eastAsia="fr-FR"/>
              </w:rPr>
              <w:fldChar w:fldCharType="separate"/>
            </w:r>
            <w:r w:rsidRPr="008C0A90">
              <w:rPr>
                <w:rFonts w:ascii="Times New Roman" w:hAnsi="Times New Roman"/>
                <w:sz w:val="18"/>
                <w:lang w:val="en-US"/>
              </w:rPr>
              <w:t>[27]</w:t>
            </w:r>
            <w:r>
              <w:rPr>
                <w:rFonts w:ascii="Times New Roman" w:eastAsia="Times New Roman" w:hAnsi="Times New Roman"/>
                <w:color w:val="000000"/>
                <w:sz w:val="18"/>
                <w:szCs w:val="20"/>
                <w:lang w:eastAsia="fr-FR"/>
              </w:rPr>
              <w:fldChar w:fldCharType="end"/>
            </w:r>
          </w:p>
        </w:tc>
        <w:tc>
          <w:tcPr>
            <w:tcW w:w="190" w:type="pct"/>
            <w:tcBorders>
              <w:top w:val="nil"/>
              <w:left w:val="nil"/>
              <w:bottom w:val="single" w:sz="4" w:space="0" w:color="auto"/>
              <w:right w:val="single" w:sz="4" w:space="0" w:color="auto"/>
            </w:tcBorders>
            <w:shd w:val="clear" w:color="000000" w:fill="FFFFFF"/>
            <w:textDirection w:val="btLr"/>
            <w:vAlign w:val="center"/>
          </w:tcPr>
          <w:p w14:paraId="12C2B851"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F2YdYYKc","properties":{"formattedCitation":"[29]","plainCitation":"[29]","noteIndex":0},"citationItems":[{"id":"Tlgz5ME1/LXklAH6P","uris":["http://zotero.org/groups/2323309/items/3ZE4M3XF"],"uri":["http://zotero.org/groups/2323309/items/3ZE4M3XF"],"itemData":{"id":"Tlgz5ME1/LXklAH6P","type":"article-journal","abstract":"Frailty appears to develop earlier and is more severe in people with intellectual disabilities compared to the general population. The high prevalence of frailty may lead to an increase in care intensity and associated health care costs. Therefore a longitudinal observational study was conducted to determine the effect of frailty on care intensity. The association between frailty and care intensity at baseline and follow-up (3 years later) was assessed. Furthermore, the ability of the frailty index to predict an increase in care intensity after 3 years was evaluated. This study was part of the Dutch `Healthy aging and intellectual disabilities' (HA-ID) study. Frailty was measured at baseline with a frailty index that included 51 health-and age-related deficits. For all participants information on care intensity in seven steps was available, based on long term care indications under the Act on Exceptional Medical Expenses (AWBZ) - a law that finances specialized long-term care. 676 participants (50 years and over) with ID were included in the final analysis. In 26% of the participants, care intensity had increased during the follow-up period. Increased care during the follow-up was related to a high frailty index score at baseline, independent of gender, age, level of ID and the presence of Down syndrome (p = 0.003). After exclusion of ADL and IADL items, the frailty index remained significantly related with increasing care intensity during follow-up (p = 0.007). Our results underline that screening instruments for early detection of frailty and effective interventions are required to limit the burden of frailty for individuals and caregivers, but also to limit health care utilization. (C) 2014 Elsevier Ltd. All rights reserved.","container-title":"RESEARCH IN DEVELOPMENTAL DISABILITIES","DOI":"10.1016/j.ridd.2014.08.006","ISSN":"0891-4222","issue":"12","page":"3455-3461","title":"The impact of frailty on care intensity in older people with intellectual disabilities","volume":"35","author":[{"family":"Schoufour","given":"Josje D."},{"family":"Evenhuis","given":"Heleen M."},{"family":"Echteld","given":"Michael A."}],"issued":{"date-parts":[["2014",12]]}}}],"schema":"https://github.com/citation-style-language/schema/raw/master/csl-citation.json"}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[29]</w:t>
            </w:r>
            <w:r>
              <w:rPr>
                <w:rFonts w:ascii="Times New Roman" w:eastAsia="Times New Roman" w:hAnsi="Times New Roman"/>
                <w:color w:val="000000"/>
                <w:sz w:val="18"/>
                <w:szCs w:val="20"/>
                <w:lang w:val="en-US" w:eastAsia="fr-FR"/>
              </w:rPr>
              <w:fldChar w:fldCharType="end"/>
            </w:r>
          </w:p>
        </w:tc>
        <w:tc>
          <w:tcPr>
            <w:tcW w:w="173" w:type="pct"/>
            <w:tcBorders>
              <w:top w:val="nil"/>
              <w:left w:val="nil"/>
              <w:bottom w:val="single" w:sz="4" w:space="0" w:color="auto"/>
              <w:right w:val="single" w:sz="4" w:space="0" w:color="auto"/>
            </w:tcBorders>
            <w:shd w:val="clear" w:color="000000" w:fill="FFFFFF"/>
            <w:textDirection w:val="btLr"/>
            <w:vAlign w:val="center"/>
          </w:tcPr>
          <w:p w14:paraId="5325C395"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XWVk7SK5","properties":{"formattedCitation":"[20]","plainCitation":"[20]","noteIndex":0},"citationItems":[{"id":"Tlgz5ME1/en6C4HC8","uris":["http://zotero.org/groups/2323309/items/WXD6KH2R"],"uri":["http://zotero.org/groups/2323309/items/WXD6KH2R"],"itemData":{"id":"Tlgz5ME1/en6C4HC8","type":"article-journal","abstract":"Introduction: Sarcopenia is associated with an increased risk of adverse outcomes. The aim of this study was to explore the relationship between severity of sarcopenia and incident activities of daily living (ADL) disability, institutionalization, and all-cause mortality among community-dwelling older men participating in the Concord Health and Ageing in Men Project (CHAMP). Methods: Longitudinal analysis of 1705 participants aged 70 years or older at baseline (2005-2007) living in the community in Sydney, Australia. Measurements: The main outcome measures were incident ADL disability, institutionalization, and mortality. Of the 1705 participants who completed the baseline assessments, a total of 1678 men (mean age 77 years) had complete measures by dual-energy x-ray absorptiometry, to assess sarcopenia in terms of low appendicular lean mass (ALM), using the Foundation for the National Institutes of Health (FNIH) criteria. To differentiate between severity of sarcopenia we used low ALM alone (sarcopenia I), low ALM with weakness (sarcopenia II), and sarcopenia with weakness and poor gait speed (sarcopenia III). Cox proportional hazard models and logistic regression models were used to assess the risk of mortality and institutionalization, and incidence of ADL disability. Results: From baseline to follow-up, 103 (11.3%) men had incident ADL disability, 191 (11.2%) men were institutionalized, and 535 (31.9%) had died. At baseline, 14.2% had sarcopenia I, 5.3% had sarcopenia II, and 3.7% had sarcopenia III. Fully adjusted analysis (adjusted for demographics, lifestyle factors, comorbidities and health conditions, and blood measures) showed that sarcopenia I, II, and III were associated with increased risk of disability, institutionalization, and mortality. Associations between sarcopenia I, II, and III and risk of incident disability were as follows: odds ratio (OR) 2.77 95% confidence interval (CI) 1.30-5.87, OR 3.78 95% CI 1.23-11.64, and OR 4.53 95% CI 0.90-22.72; associations with institutionalization were hazard ratio (HR) 1.96 95% CI 1.14-3.35, HR 2.53 95% CI 1.31-4.90, and HR 2.27 95% CI 1.08-4.80; and with mortality were HR 1.65 95% CI 1.30-2.09, HR 1.50 95% CI 1.08-2.08, and HR 1.69 95% CI 1.17-2.44. Conclusions: This study shows that, in community-dwelling older men, sarcopenia defined by the FNIH criteria is associated with increased risk of incident disability, institutionalization, and mortality. (C) 2015 AMDA - The Society for Post-Acute and Long-Term Care Medicine.","container-title":"JOURNAL OF THE AMERICAN MEDICAL DIRECTORS ASSOCIATION","DOI":"10.1016/j.jamda.2015.02.006","ISSN":"1525-8610","issue":"7","page":"607-613","title":"Sarcopenia Is Associated With Incident Disability, Institutionalization, and Mortality in Community-Dwelling Older Men: The Concord Health and Ageing in Men Project","volume":"16","author":[{"family":"Hirani","given":"Vasant"},{"family":"Blyth","given":"Fiona"},{"family":"Naganathan","given":"Vasi"},{"family":"Le Couteur","given":"David G."},{"family":"Seibel","given":"Markus J."},{"family":"Waite","given":"Louise M."},{"family":"Handelsman","given":"David J."},{"family":"Cumming","given":"Robert G."}],"issued":{"date-parts":[["2015",7,1]]}}}],"schema":"https://github.com/citation-style-language/schema/raw/master/csl-citation.json"}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lang w:val="en-US"/>
              </w:rPr>
              <w:t>[20]</w:t>
            </w:r>
            <w:r>
              <w:rPr>
                <w:rFonts w:ascii="Times New Roman" w:eastAsia="Times New Roman" w:hAnsi="Times New Roman"/>
                <w:color w:val="000000"/>
                <w:sz w:val="18"/>
                <w:szCs w:val="20"/>
                <w:lang w:val="en-US" w:eastAsia="fr-FR"/>
              </w:rPr>
              <w:fldChar w:fldCharType="end"/>
            </w:r>
          </w:p>
        </w:tc>
        <w:tc>
          <w:tcPr>
            <w:tcW w:w="173" w:type="pct"/>
            <w:tcBorders>
              <w:top w:val="nil"/>
              <w:left w:val="nil"/>
              <w:bottom w:val="single" w:sz="4" w:space="0" w:color="auto"/>
              <w:right w:val="single" w:sz="4" w:space="0" w:color="auto"/>
            </w:tcBorders>
            <w:shd w:val="clear" w:color="000000" w:fill="FFFFFF"/>
            <w:textDirection w:val="btLr"/>
            <w:vAlign w:val="center"/>
          </w:tcPr>
          <w:p w14:paraId="6ACD01E5"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O45KFgk7","properties":{"formattedCitation":"[19]","plainCitation":"[19]","noteIndex":0},"citationItems":[{"id":"Tlgz5ME1/nA4YZCGC","uris":["http://zotero.org/groups/2323309/items/ACPQGRIR"],"uri":["http://zotero.org/groups/2323309/items/ACPQGRIR"],"itemData":{"id":"Tlgz5ME1/nA4YZCGC","type":"article-journal","abstract":"Background: Frailty is a dynamic process with transitions over time. Objectives: To examine frailty transitions and their relationship to utilization of health services. Methods: Frailty status using the Vulnerable Elders Survey (VES-13) was determined for 608 community-dwelling older people interviewed in a 2008 national survey and for 281 re-interviewed in 2014. The effect of frailty on death 6 years later was assessed using Cox proportional hazards analysis. Participants were divided into four groups based on their frailty transition. Demographic, functional and health characteristics were compared between the four groups using the Kruskal-Wallis and paired t-test. The independent association between the four frailty groups and health services utilization was assessed using logistic regression. Results: Between 2008 and 2014, 24% of 608 participants were lost to follow-up, 9% were non-frail, 37% were frail, and 30% died. The Cox ratio showed that 86% of the non-frail in 2008 were alive 6 years later vs. 52% of the frail (hazard ratio 3.5, confidence interval 2.2–5.4). Frailty transitions in the 281 participants interviewed at both time points revealed that 19% stayed non-frail, 22% became frail, 22% stayed frail and 37% became more frail. Becoming frail, staying frail or becoming more frail compared to staying non-frail was independently associated with a greater risk for requiring help on a regular basis, having a formal caregiver, and requiring home care. Conclusions: Any transition away from the non-frail state increased the use of health care services. Interventions to target early transition to frailty should be encouraged.","archive":"Embase","container-title":"Israel Medical Association Journal","ISSN":"1565-1088","issue":"8","journalAbbreviation":"Isr. Med. Assoc. J.","language":"English","page":"449-453","title":"Frailty transitions in community-dwelling older people","volume":"18","author":[{"literal":"Bentur N."},{"literal":"Sternberg S.A."},{"literal":"Shuldiner J."}],"issued":{"date-parts":[["2016"]]}}}],"schema":"https://github.com/citation-style-language/schema/raw/master/csl-citation.json"}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[19]</w:t>
            </w:r>
            <w:r>
              <w:rPr>
                <w:rFonts w:ascii="Times New Roman" w:eastAsia="Times New Roman" w:hAnsi="Times New Roman"/>
                <w:color w:val="000000"/>
                <w:sz w:val="18"/>
                <w:szCs w:val="20"/>
                <w:lang w:val="en-US" w:eastAsia="fr-FR"/>
              </w:rPr>
              <w:fldChar w:fldCharType="end"/>
            </w:r>
          </w:p>
        </w:tc>
        <w:tc>
          <w:tcPr>
            <w:tcW w:w="194" w:type="pct"/>
            <w:tcBorders>
              <w:top w:val="nil"/>
              <w:left w:val="nil"/>
              <w:bottom w:val="single" w:sz="4" w:space="0" w:color="auto"/>
              <w:right w:val="single" w:sz="4" w:space="0" w:color="auto"/>
            </w:tcBorders>
            <w:shd w:val="clear" w:color="000000" w:fill="FFFFFF"/>
            <w:textDirection w:val="btLr"/>
            <w:vAlign w:val="center"/>
          </w:tcPr>
          <w:p w14:paraId="55CE9511"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i0iH31k2","properties":{"formattedCitation":"[21]","plainCitation":"[21]","noteIndex":0},"citationItems":[{"id":"Tlgz5ME1/r7trlIAN","uris":["http://zotero.org/groups/2323309/items/BQWGYLBA"],"uri":["http://zotero.org/groups/2323309/items/BQWGYLBA"],"itemData":{"id":"Tlgz5ME1/r7trlIAN","type":"article-journal","abstract":"The concept of frailty is rapidly gaining attention as an independent syndrome with high prevalence in older adults. Thereby, frailty is often related to certain adverse outcomes like mortality or disability. Another adverse outcome discussed is increased health care utilization. However, only few studies examined the impact of frailty on health care utilization and corresponding costs. The aim of this study was therefore to investigate comprehensively the relationship between frailty, health care utilization and costs.","container-title":"BMC Health Services Research","DOI":"10.1186/s12913-016-1360-3","ISSN":"1472-6963","issue":"1","journalAbbreviation":"BMC Health Services Research","page":"128","source":"BioMed Central","title":"Associations of frailty with health care costs – results of the ESTHER cohort study","volume":"16","author":[{"family":"Bock","given":"Jens-Oliver"},{"family":"König","given":"Hans-Helmut"},{"family":"Brenner","given":"Hermann"},{"family":"Haefeli","given":"Walter E."},{"family":"Quinzler","given":"Renate"},{"family":"Matschinger","given":"Herbert"},{"family":"Saum","given":"Kai-Uwe"},{"family":"Schöttker","given":"Ben"},{"family":"Heider","given":"Dirk"}],"issued":{"date-parts":[["2016",4,14]]}}}],"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[21]</w:t>
            </w:r>
            <w:r>
              <w:rPr>
                <w:rFonts w:ascii="Times New Roman" w:eastAsia="Times New Roman" w:hAnsi="Times New Roman"/>
                <w:color w:val="000000"/>
                <w:sz w:val="18"/>
                <w:szCs w:val="20"/>
                <w:lang w:val="en-US" w:eastAsia="fr-FR"/>
              </w:rPr>
              <w:fldChar w:fldCharType="end"/>
            </w:r>
          </w:p>
        </w:tc>
        <w:tc>
          <w:tcPr>
            <w:tcW w:w="229" w:type="pct"/>
            <w:tcBorders>
              <w:top w:val="nil"/>
              <w:left w:val="nil"/>
              <w:bottom w:val="single" w:sz="4" w:space="0" w:color="auto"/>
              <w:right w:val="single" w:sz="4" w:space="0" w:color="auto"/>
            </w:tcBorders>
            <w:shd w:val="clear" w:color="000000" w:fill="FFFFFF"/>
            <w:textDirection w:val="btLr"/>
            <w:vAlign w:val="center"/>
          </w:tcPr>
          <w:p w14:paraId="71399626"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IwEmVhIi","properties":{"formattedCitation":"[30]","plainCitation":"[30]","noteIndex":0},"citationItems":[{"id":"Tlgz5ME1/gPbw0VcX","uris":["http://zotero.org/groups/2323309/items/E7PBGZVI"],"uri":["http://zotero.org/groups/2323309/items/E7PBGZVI"],"itemData":{"id":"Tlgz5ME1/gPbw0VcX","type":"article-journal","abstract":"ObjectivesDementia draws on a variety of public and private resources. There is increasing pressure to define the cost components in this area to improve resource allocation and accountability. The aim of this study was to characterize frailty in a group of cognitively impaired community-dwelling elders and evaluate its relationship with cost and resource utilization. MethodsWe assessed a cross-sectional, convenient sample of 115 cognitively impaired patients of age &gt;55years who attended the National Memory Clinic in St James' University Hospital, a Trinity College-affiliated hospital in Dublin, Ireland. Participants had a clinical diagnosis of possible Alzheimer's disease or mild cognitive impairment. Frailty was measured using the biological syndrome model. Formal health and social care costs and daily informal caregiving costs were collected and the total costs of care estimated by applying the appropriate unit cost estimate for each resource activity. Stepwise regression models were constructed to establish the factors associated with increased care costs. ResultsPatient dependence, frailty and number of co-morbid illnesses explained 43.3% of the variance in observed daily informal care costs in dementia and cognitively impaired patients. Dependence was the sole factor retained in an optimal model explaining 19% of the variance in formal health and social care costs. ConclusionFrailty retained a strong association with daily informal care costs even in the context of other known risk factors for increasing care costs. Interventions that reduce frailty as well as patient dependence on others may be associated with cost savings. Copyright (c) 2015 John Wiley &amp; Sons, Ltd.","container-title":"INTERNATIONAL JOURNAL OF GERIATRIC PSYCHIATRY","DOI":"10.1002/gps.4306","ISSN":"0885-6230","issue":"2","page":"161-168","title":"Frailty: a costly phenomenon in caring for elders with cognitive impairment","volume":"31","author":[{"family":"Butler","given":"Aine"},{"family":"Gallagher","given":"Damien"},{"family":"Gillespie","given":"Paddy"},{"family":"Crosby","given":"Lisa"},{"family":"Ryan","given":"Deirdre"},{"family":"Lacey","given":"Loretto"},{"family":"Coen","given":"Robert"},{"family":"O'Shea","given":"Eamon"},{"family":"Lawlor","given":"Brian"}],"issued":{"date-parts":[["2016",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[30]</w:t>
            </w:r>
            <w:r>
              <w:rPr>
                <w:rFonts w:ascii="Times New Roman" w:eastAsia="Times New Roman" w:hAnsi="Times New Roman"/>
                <w:color w:val="000000"/>
                <w:sz w:val="18"/>
                <w:szCs w:val="20"/>
                <w:lang w:val="en-US" w:eastAsia="fr-FR"/>
              </w:rPr>
              <w:fldChar w:fldCharType="end"/>
            </w:r>
          </w:p>
        </w:tc>
        <w:tc>
          <w:tcPr>
            <w:tcW w:w="227" w:type="pct"/>
            <w:tcBorders>
              <w:top w:val="nil"/>
              <w:left w:val="nil"/>
              <w:bottom w:val="single" w:sz="4" w:space="0" w:color="auto"/>
              <w:right w:val="single" w:sz="4" w:space="0" w:color="auto"/>
            </w:tcBorders>
            <w:shd w:val="clear" w:color="000000" w:fill="FFFFFF"/>
            <w:textDirection w:val="btLr"/>
            <w:vAlign w:val="center"/>
          </w:tcPr>
          <w:p w14:paraId="49421C00"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oYCUZSUt","properties":{"formattedCitation":"[28]","plainCitation":"[28]","noteIndex":0},"citationItems":[{"id":"Tlgz5ME1/Cje3Gphi","uris":["http://zotero.org/groups/2323309/items/FCY6SQWP"],"uri":["http://zotero.org/groups/2323309/items/FCY6SQWP"],"itemData":{"id":"Tlgz5ME1/Cje3Gphi","type":"article-journal","abstract":"Background: Evaluating different approaches to identifying frail home care clients at heightened risk for adverse health outcomes is an important but understudied area. Our objectives were to determine the prevalence and correlates of frailty (as operationally defined by three measures) in a home care cohort, the agreement between these measures, and their predictive validity for several outcomes assessed over one year. Methods: We conducted a retrospective cohort study with linked population-based administrative and clinical (Resident Assessment Instrument [RAI]) data for all long-stay home care clients (aged 66+) assessed between April 2010-2013 in Ontario, Canada (n = 234,552). We examined two versions of a frailty index (FI), a full and modified FI, and the CHESS scale, compared their baseline characteristics and their predictive accuracy (by calculating the area under the ROC curve [AUC]) for death, long-term care (LTC) admission, and hospitalization endpoints in models adjusted for age, sex and comorbidity. Results: Frailty prevalence varied by measure (19.5, 24.4 and 44.1 %, for full FI, modified FI and CHESS, respectively) and was similar among female and male clients. All three measures were associated with a significantly increased risk of death, LTC admission and hospitalization endpoints in adjusted analyses but their addition to base models resulted in modest improvement for most AUC estimates. There were significant differences between measures in predictive accuracy, with the full FI demonstrating a higher AUC for LTC admission and CHESS a higher AUC for hospitalization - although none of the measures performed well for the hospitalization endpoints. Conclusions: The different approaches to detecting vulnerability resulted in different estimates of frailty prevalence among home care clients in Ontario. Although all three measures were significant predictors of the health outcomes examined, the gains in predictive accuracy were often modest with the exception of the full FI in predicting LTC admission. Our findings provide some support for the clinical utility of a comprehensive FI measure and also illustrate that it is feasible to derive such a measure at the population level using routinely collected data. This may facilitate further research on frailty in this setting, including the development and evaluation of interventions for frailty.","container-title":"BMC GERIATRICS","DOI":"10.1186/s12877-016-0309-z","ISSN":"1471-2318","title":"The prevalence and health consequences of frailty in a population-based older home care cohort: a comparison of different measures","volume":"16","author":[{"family":"Campitelli","given":"Michael A."},{"family":"Bronskill","given":"Susan E."},{"family":"Hogan","given":"David B."},{"family":"Diong","given":"Christina"},{"family":"Amuah","given":"Joseph E."},{"family":"Gill","given":"Sudeep"},{"family":"Seitz","given":"Dallas"},{"family":"Thavorn","given":"Kednapa"},{"family":"Wodchis","given":"Walter P."},{"family":"Maxwell","given":"Colleen J."}],"issued":{"date-parts":[["2016",7,7]]}}}],"schema":"https://github.com/citation-style-language/schema/raw/master/csl-citation.json"}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lang w:val="en-US"/>
              </w:rPr>
              <w:t>[28]</w:t>
            </w:r>
            <w:r>
              <w:rPr>
                <w:rFonts w:ascii="Times New Roman" w:eastAsia="Times New Roman" w:hAnsi="Times New Roman"/>
                <w:color w:val="000000"/>
                <w:sz w:val="18"/>
                <w:szCs w:val="20"/>
                <w:lang w:val="en-US" w:eastAsia="fr-FR"/>
              </w:rPr>
              <w:fldChar w:fldCharType="end"/>
            </w:r>
          </w:p>
        </w:tc>
        <w:tc>
          <w:tcPr>
            <w:tcW w:w="264" w:type="pct"/>
            <w:tcBorders>
              <w:top w:val="nil"/>
              <w:left w:val="nil"/>
              <w:bottom w:val="single" w:sz="4" w:space="0" w:color="auto"/>
              <w:right w:val="single" w:sz="4" w:space="0" w:color="auto"/>
            </w:tcBorders>
            <w:shd w:val="clear" w:color="000000" w:fill="FFFFFF"/>
            <w:textDirection w:val="btLr"/>
            <w:vAlign w:val="center"/>
          </w:tcPr>
          <w:p w14:paraId="083910EF"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MbTw8qNF","properties":{"formattedCitation":"[31]","plainCitation":"[31]","noteIndex":0},"citationItems":[{"id":"Tlgz5ME1/VOzqoHYm","uris":["http://zotero.org/groups/2323309/items/3F3VBBQA"],"uri":["http://zotero.org/groups/2323309/items/3F3VBBQA"],"itemData":{"id":"Tlgz5ME1/VOzqoHYm","type":"article-journal","abstract":"AbstractBackground. .  The identification of an objective evaluation of frailty capable of predicting adverse outcomes in Alzheimer’s disease is increasingly di","container-title":"The Journals of Gerontology: Series A","DOI":"10.1093/gerona/glv137","ISSN":"1079-5006","issue":"4","journalAbbreviation":"J Gerontol A Biol Sci Med Sci","language":"en","page":"543-548","source":"academic.oup.com","title":"Frailty Index and Incident Mortality, Hospitalization, and Institutionalization in Alzheimer’s Disease: Data From the ICTUS Study","title-short":"Frailty Index and Incident Mortality, Hospitalization, and Institutionalization in Alzheimer’s Disease","volume":"71","author":[{"family":"Kelaiditi","given":"Eirini"},{"family":"Andrieu","given":"Sandrine"},{"family":"Cantet","given":"Christelle"},{"family":"Vellas","given":"Bruno"},{"family":"Cesari","given":"Matteo"}],"issued":{"date-parts":[["2016",4,1]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[31]</w:t>
            </w:r>
            <w:r>
              <w:rPr>
                <w:rFonts w:ascii="Times New Roman" w:eastAsia="Times New Roman" w:hAnsi="Times New Roman"/>
                <w:color w:val="000000"/>
                <w:sz w:val="18"/>
                <w:szCs w:val="20"/>
                <w:lang w:val="en-US" w:eastAsia="fr-FR"/>
              </w:rPr>
              <w:fldChar w:fldCharType="end"/>
            </w:r>
          </w:p>
        </w:tc>
        <w:tc>
          <w:tcPr>
            <w:tcW w:w="264" w:type="pct"/>
            <w:tcBorders>
              <w:top w:val="nil"/>
              <w:left w:val="nil"/>
              <w:bottom w:val="single" w:sz="4" w:space="0" w:color="auto"/>
              <w:right w:val="single" w:sz="4" w:space="0" w:color="auto"/>
            </w:tcBorders>
            <w:shd w:val="clear" w:color="000000" w:fill="FFFFFF"/>
            <w:textDirection w:val="btLr"/>
            <w:vAlign w:val="center"/>
          </w:tcPr>
          <w:p w14:paraId="104B47A4"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y0vyDkTZ","properties":{"formattedCitation":"[22]","plainCitation":"[22]","noteIndex":0},"citationItems":[{"id":"Tlgz5ME1/KOzpAbQu","uris":["http://zotero.org/groups/2323309/items/FRMGSS2W"],"uri":["http://zotero.org/groups/2323309/items/FRMGSS2W"],"itemData":{"id":"Tlgz5ME1/KOzpAbQu","type":"article-journal","abstract":"Background\nDespite several attempts to reach a single definition of frailty, no consensus has been reached. The definitions previously published have tried to prove its utility in predicting negative health outcomes. The objective of the present study is to compare the predictive value of 3 different frailty instruments, for selected outcomes.\nMethods\nThe study sample includes 1278 participants of the Three-City study, a French prospective population-based study, assessed for frailty using Fried's phenotype criteria, Rockwood's Frailty Index and Tilburg Frailty Indicator. To assess the risk of mortality, incident disability, falls, institutionalization and hospitalization for a follow up period of 12 years, Cox proportional hazard models with delayed entry have been used. The area under the time-dependent ROC curve has been used to estimate and compare the ability of the three instruments of frailty to predict the previous adverse outcomes at 12 years.\nResults\nFive hundred ninety four participants were identified as non-robust with Fried's criteria; 169 with Rockwood's FI and 303 with TFI. The three scales consistently identified 91 participants as non-robust and 574 as robust. Rockwood's FI was a statistically significant predictor of mortality, incident disability and falls, and a strong predictor of hospitalization.\nConclusion\nIn the absence of a “gold standard” definition of frailty, a debate on what measures and how to include them is open. A clue may be that one should select the appropriate definition according to the to-be predicted outcome, the setting and the underlying etiology of frailty.","container-title":"Archives of Gerontology and Geriatrics","DOI":"10.1016/j.archger.2017.06.005","ISSN":"0167-4943","journalAbbreviation":"Archives of Gerontology and Geriatrics","page":"153-163","source":"ScienceDirect","title":"Comparing the predictive value of three definitions of frailty: Results from the Three-City study.","title-short":"Comparing the predictive value of three definitions of frailty","volume":"72","author":[{"family":"Gonzalez-Colaço Harmand","given":"Magali"},{"family":"Meillon","given":"Céline"},{"family":"Bergua","given":"Valérie"},{"family":"Tabue Teguo","given":"Maturin"},{"family":"Dartigues","given":"Jean-François"},{"family":"Avila-Funes","given":"José Alberto"},{"family":"Amieva","given":"Hélène"}],"issued":{"date-parts":[["2017",9,1]]}}}],"schema":"https://github.com/citation-style-language/schema/raw/master/csl-citation.json"}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[22]</w:t>
            </w:r>
            <w:r>
              <w:rPr>
                <w:rFonts w:ascii="Times New Roman" w:eastAsia="Times New Roman" w:hAnsi="Times New Roman"/>
                <w:color w:val="000000"/>
                <w:sz w:val="18"/>
                <w:szCs w:val="20"/>
                <w:lang w:val="en-US" w:eastAsia="fr-FR"/>
              </w:rPr>
              <w:fldChar w:fldCharType="end"/>
            </w:r>
          </w:p>
        </w:tc>
        <w:tc>
          <w:tcPr>
            <w:tcW w:w="331" w:type="pct"/>
            <w:tcBorders>
              <w:top w:val="nil"/>
              <w:left w:val="nil"/>
              <w:bottom w:val="single" w:sz="4" w:space="0" w:color="auto"/>
              <w:right w:val="single" w:sz="4" w:space="0" w:color="auto"/>
            </w:tcBorders>
            <w:shd w:val="clear" w:color="auto" w:fill="auto"/>
            <w:textDirection w:val="btLr"/>
            <w:vAlign w:val="center"/>
          </w:tcPr>
          <w:p w14:paraId="33081580"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tDLnP3pA","properties":{"formattedCitation":"[23]","plainCitation":"[23]","noteIndex":0},"citationItems":[{"id":"Tlgz5ME1/qVuImVNC","uris":["http://zotero.org/groups/2323309/items/DY2KLTX2"],"uri":["http://zotero.org/groups/2323309/items/DY2KLTX2"],"itemData":{"id":"Tlgz5ME1/qVuImVNC","type":"article-journal","abstract":"BACKGROUND: Frailty is a strong indicator of vulnerability among older persons, but its association with ICU outcomes has not been evaluated prospectively (ie, with objectivemeasurements obtained prior to ICU admission). Our objective was to prospectively evaluate the relationship between frailty and post-ICU disability, incident nursing home admission, and death. METHODS: The parent cohort included 754 adults aged &gt;= 70 years, who were evaluated monthly for disability in 13 functional activities and every 18 months for frailty (1998-2014). Frailty was assessed using the Fried index, where frailty, prefrailty, and nonfrailty were defined, respectively, as at least three, one or two, and zero criteria (of five). The analytic sample included 391 ICU admissions. RESULTS: The mean age was 84.0 years. Frailty and prefrailty were present prior to 213 (54.5%) and 140 (35.8%) of the 391 admissions, respectively. Relative to nonfrailty, frailty was associated with 41% greater disability over the 6 months following a critical illness (adjusted risk ratio, 1.41; 95% CI, 1.12-1.78); prefrailty conferred 28% greater disability (adjusted risk ratio, 1.28; 95% CI, 1.01-1.63). Frailty (odds ratio, 3.52; 95% CI, 1.23-10.08), but not prefrailty (odds ratio, 2.01; 95% CI, 0.77-5.24), was associated with increased nursing home admission. Each one-point increase in frailty count (range, 0-5) was associated with double the likelihood of death (hazard ratio, 2.00; 95% CI, 1.33-3.00) through 6 months of follow-up. CONCLUSIONS: Pre-ICU frailty status was associated with increased post-ICU disability and new nursing home admission among ICU survivors, and death among all admissions. Pre-ICU frailty status may provide prognostic information about outcomes after a critical illness.","container-title":"Chest","DOI":"10.1016/j.chest.2018.03.007","ISSN":"0012-3692","issue":"6","page":"1378-1386","title":"The Association of Frailty With Post-ICU Disability, Nursing Home Admission, and Mortality A Longitudinal Study","volume":"153","author":[{"family":"Ferrante","given":"Lauren E."},{"family":"Pisani","given":"Margaret A."},{"family":"Murphy","given":"Terrence E."},{"family":"Gahbauer","given":"Evelyne A."},{"family":"Leo-Summers","given":"Linda S."},{"family":"Gill","given":"Thomas M."}],"issued":{"date-parts":[["2018",6]]}}}],"schema":"https://github.com/citation-style-language/schema/raw/master/csl-citation.json"}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[23]</w:t>
            </w:r>
            <w:r>
              <w:rPr>
                <w:rFonts w:ascii="Times New Roman" w:eastAsia="Times New Roman" w:hAnsi="Times New Roman"/>
                <w:color w:val="000000"/>
                <w:sz w:val="18"/>
                <w:szCs w:val="20"/>
                <w:lang w:val="en-US" w:eastAsia="fr-FR"/>
              </w:rPr>
              <w:fldChar w:fldCharType="end"/>
            </w:r>
          </w:p>
        </w:tc>
        <w:tc>
          <w:tcPr>
            <w:tcW w:w="195" w:type="pct"/>
            <w:tcBorders>
              <w:top w:val="nil"/>
              <w:left w:val="nil"/>
              <w:bottom w:val="single" w:sz="4" w:space="0" w:color="auto"/>
              <w:right w:val="single" w:sz="4" w:space="0" w:color="auto"/>
            </w:tcBorders>
            <w:shd w:val="clear" w:color="auto" w:fill="auto"/>
            <w:textDirection w:val="btLr"/>
            <w:vAlign w:val="center"/>
          </w:tcPr>
          <w:p w14:paraId="582DAECF" w14:textId="77777777" w:rsidR="00EE4BF0" w:rsidRPr="00E85D55" w:rsidRDefault="00EE4BF0" w:rsidP="007D1DAE">
            <w:pPr>
              <w:spacing w:after="0" w:line="240" w:lineRule="auto"/>
              <w:jc w:val="center"/>
              <w:rPr>
                <w:rFonts w:ascii="Times New Roman" w:eastAsia="Times New Roman" w:hAnsi="Times New Roman"/>
                <w:color w:val="000000"/>
                <w:sz w:val="18"/>
                <w:szCs w:val="20"/>
                <w:lang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cj8BxwUa","properties":{"formattedCitation":"[24]","plainCitation":"[24]","noteIndex":0},"citationItems":[{"id":"Tlgz5ME1/jIgbjt3N","uris":["http://zotero.org/groups/2323309/items/WKK5RUW4"],"uri":["http://zotero.org/groups/2323309/items/WKK5RUW4"],"itemData":{"id":"Tlgz5ME1/jIgbjt3N","type":"article-journal","abstract":"Objective: to investigate how frailty and frailty symptoms affect healthcare costs in older age longitudinally. Methods: data were gathered from a prospective cohort study in Saarland, Germany (two waves with 3-year interval, n = 1,636 aged 57-84 years at baseline). Frailty was assessed by the five Fried frailty criteria. Frailty was defined as having at least three criteria, the presence of 1-2 criteria as `pre-frail'. Healthcare costs were quantified based on self-reported healthcare use in the sectors of inpatient treatment, outpatient treatment, professional nursing care and informal care as well as the provision of pharmaceuticals, medical supplies and dental prostheses. Results: while the onset of pre-frailty did not increase (log) total healthcare costs after adjusting for potential confounders including comorbidity, progression from non-frailty to frailty was associated with an increase in total healthcare costs (for example, costs increased by similar to 54 and 101% if 3 and 4 or 5 symptoms were present, respectively). This association of frailty onset with increased healthcare costs was in particular observed in the inpatient sector and for informal nursing care. Among the frailty symptoms, the onset of exhaustion was associated with an increase in total healthcare costs, whereas changes in slowness, weakness, weight loss and low-physical activity were not significantly associated with an increase in total healthcare costs. Conclusions: our data stress the economic relevance of frailty in late life. Postponing or reducing frailty might be fruitful in order to reduce healthcare costs.","container-title":"Age and Ageing","DOI":"10.1093/ageing/afx157","ISSN":"0002-0729","issue":"2","page":"233-241","title":"Frailty and healthcare costs-longitudinal results of a prospective cohort study","volume":"47","author":[{"family":"Hajek","given":"Andre"},{"family":"Bock","given":"Jens-Oliver"},{"family":"Saum","given":"Kai-Uwe"},{"family":"Matschinger","given":"Herbert"},{"family":"Brenner","given":"Hermann"},{"family":"Holleczek","given":"Bernd"},{"family":"Haefeli","given":"Walter E."},{"family":"Heider","given":"Dirk"},{"family":"Koenig","given":"Hans-Helmut"}],"issued":{"date-parts":[["2018",3]]}}}],"schema":"https://github.com/citation-style-language/schema/raw/master/csl-citation.json"}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[24]</w:t>
            </w:r>
            <w:r>
              <w:rPr>
                <w:rFonts w:ascii="Times New Roman" w:eastAsia="Times New Roman" w:hAnsi="Times New Roman"/>
                <w:color w:val="000000"/>
                <w:sz w:val="18"/>
                <w:szCs w:val="20"/>
                <w:lang w:val="en-US" w:eastAsia="fr-FR"/>
              </w:rPr>
              <w:fldChar w:fldCharType="end"/>
            </w:r>
          </w:p>
        </w:tc>
        <w:tc>
          <w:tcPr>
            <w:tcW w:w="229" w:type="pct"/>
            <w:tcBorders>
              <w:top w:val="nil"/>
              <w:left w:val="nil"/>
              <w:bottom w:val="single" w:sz="4" w:space="0" w:color="auto"/>
              <w:right w:val="single" w:sz="4" w:space="0" w:color="auto"/>
            </w:tcBorders>
            <w:shd w:val="clear" w:color="auto" w:fill="auto"/>
            <w:textDirection w:val="btLr"/>
            <w:vAlign w:val="center"/>
          </w:tcPr>
          <w:p w14:paraId="6B9816D6" w14:textId="77777777" w:rsidR="00EE4BF0" w:rsidRPr="00E85D55" w:rsidRDefault="00EE4BF0" w:rsidP="007D1DAE">
            <w:pPr>
              <w:spacing w:after="0" w:line="240" w:lineRule="auto"/>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b7PlVdov","properties":{"formattedCitation":"[25]","plainCitation":"[25]","noteIndex":0},"citationItems":[{"id":"Tlgz5ME1/w8zQzNF6","uris":["http://zotero.org/groups/2323309/items/KM7X4SHD"],"uri":["http://zotero.org/groups/2323309/items/KM7X4SHD"],"itemData":{"id":"Tlgz5ME1/w8zQzNF6","type":"article-journal","abstract":"Objectives: This study examines different combinations of informal and formal care use of older adults and investigates whether these combinations differ in terms of need for care (physical and psychological frailty) and enabling factors for informal and formal care use (social and environmental frailty). Methods: Using cross-sectional data from the Belgian Ageing Studies (survey, N = 38,066 community-dwelling older adults), Latent Class Analysis (LCA) is used to identify combinations of informal and formal care use. Bivariate analyses are used to explore the relationship between the different combinations of care use and frailty. Results: Latent Class Analysis (LCA) identified 8 different types of care use, which vary in combinations of informal and formal caregivers. Older adults who are more likely to combine care from family and care from all types of formal caregivers are more physically, psychologically and environmentally frail than expected. Older adults who are more likely to receive care only from nuclear family, or only from formal caregivers are more socially frail than expected. Conclusions: Older adults with a higher need for care are more likely to receive care from different types of informal and formal caregivers. High environmental frailty and low social frailty are related with the use of care from different types of informal and formal caregivers. This study confirms that informal care can act as substitute for formal care. However, this substitute relationship becomes a complementary relationship in frail older adults. Policymakers should take into account that frailty in older adults affects the use of informal and formal care.","container-title":"ARCHIVES OF GERONTOLOGY AND GERIATRICS","DOI":"10.1016/j.archger.2018.05.018","ISSN":"0167-4943","page":"69-77","title":"Frailty differences in older adults' use of informal and formal care","volume":"79","author":[{"family":"Lambotte","given":"Deborah"},{"family":"De Donder","given":"Liesbeth"},{"family":"Van Regenmortel","given":"Sofie"},{"family":"Fret","given":"Bram"},{"family":"Dury","given":"Sarah"},{"family":"Smetcoren","given":"An-Sofie"},{"family":"Dierckx","given":"Eva"},{"family":"De Witte","given":"Nico"},{"family":"Verte","given":"Dominique"},{"family":"Kardol","given":"Martinus J. M."},{"family":"Consortium","given":"D.-SCOPE"}],"issued":{"date-parts":[["2018",12]]}}}],"schema":"https://github.com/citation-style-language/schema/raw/master/csl-citation.json"}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[25]</w:t>
            </w:r>
            <w:r>
              <w:rPr>
                <w:rFonts w:ascii="Times New Roman" w:eastAsia="Times New Roman" w:hAnsi="Times New Roman"/>
                <w:color w:val="000000"/>
                <w:sz w:val="18"/>
                <w:szCs w:val="20"/>
                <w:lang w:val="en-US" w:eastAsia="fr-FR"/>
              </w:rPr>
              <w:fldChar w:fldCharType="end"/>
            </w:r>
          </w:p>
        </w:tc>
        <w:tc>
          <w:tcPr>
            <w:tcW w:w="263" w:type="pct"/>
            <w:tcBorders>
              <w:top w:val="nil"/>
              <w:left w:val="nil"/>
              <w:bottom w:val="single" w:sz="4" w:space="0" w:color="auto"/>
              <w:right w:val="single" w:sz="4" w:space="0" w:color="auto"/>
            </w:tcBorders>
            <w:shd w:val="clear" w:color="auto" w:fill="auto"/>
            <w:textDirection w:val="btLr"/>
            <w:vAlign w:val="center"/>
          </w:tcPr>
          <w:p w14:paraId="44B0EF33" w14:textId="77777777" w:rsidR="00EE4BF0" w:rsidRPr="00E85D55" w:rsidRDefault="00EE4BF0" w:rsidP="007D1DAE">
            <w:pPr>
              <w:spacing w:after="0" w:line="240" w:lineRule="auto"/>
              <w:jc w:val="center"/>
              <w:rPr>
                <w:rFonts w:ascii="Times New Roman" w:eastAsia="Times New Roman" w:hAnsi="Times New Roman"/>
                <w:color w:val="000000"/>
                <w:sz w:val="18"/>
                <w:szCs w:val="20"/>
                <w:lang w:val="en-US" w:eastAsia="fr-FR"/>
              </w:rPr>
            </w:pPr>
            <w:r>
              <w:rPr>
                <w:rFonts w:ascii="Times New Roman" w:eastAsia="Times New Roman" w:hAnsi="Times New Roman"/>
                <w:color w:val="000000"/>
                <w:sz w:val="18"/>
                <w:szCs w:val="20"/>
                <w:lang w:val="en-US" w:eastAsia="fr-FR"/>
              </w:rPr>
              <w:fldChar w:fldCharType="begin"/>
            </w:r>
            <w:r>
              <w:rPr>
                <w:rFonts w:ascii="Times New Roman" w:eastAsia="Times New Roman" w:hAnsi="Times New Roman"/>
                <w:color w:val="000000"/>
                <w:sz w:val="18"/>
                <w:szCs w:val="20"/>
                <w:lang w:val="en-US" w:eastAsia="fr-FR"/>
              </w:rPr>
              <w:instrText xml:space="preserve"> ADDIN ZOTERO_ITEM CSL_CITATION {"citationID":"efCcZq3O","properties":{"formattedCitation":"[26]","plainCitation":"[26]","noteIndex":0},"citationItems":[{"id":"Tlgz5ME1/rEvRhjP6","uris":["http://zotero.org/groups/2323309/items/2UZ657EB"],"uri":["http://zotero.org/groups/2323309/items/2UZ657EB"],"itemData":{"id":"Tlgz5ME1/rEvRhjP6","type":"article-journal","abstract":"The growth in the numbers of older adults needing long-term care has resulted in rising costs which have forced the Dutch government to change its long-term care system. Now, the local authorities have greater responsibility for supporting older adults and in prolonging independent living with increased support provided by the social network. However, it is unclear whether these older adults have such a network to rely upon. The objective of this study was to gain insight into the providers of formal and informal care to older adults, and to assess possible differences between older adults who are frail and those who are not. In addition, we investigated their care and support needs. We used data from a quantitative survey using a cross-sectional design in different regions of the Netherlands from July until September 2014 (n=181). Frailty was measured using the Tilburg Frailty indicator. To analyse the data chi-square tests, crosstabs and odds ratios were used for dichotomous data and the Mann-Whitney U-Test for nominal data. The number of formal care providers involved was significantly higher (median=2) for those deemed frail than for those not deemed frail (median=1), U=2,130, p&lt;.005. However, more than one-third of the respondents deemed frail did not get the care or support they needed (33.7%). There was a significant positive association between being frail and having an informal care provider ((2)=18.78, df=1, p&lt;.005). However, more than one-third of those deemed frail did not have an informal care provider (36.8%). One-third of older adults deemed to be frail did not have their needs sufficiently addressed by their care network. For a substantial part of this group of older adults, the informal network seems to be unable to support them sufficiently. Additional attention for their needs and wishes is required to implement the policy reforms successfully.","container-title":"Health &amp; Social Care in the Community","DOI":"10.1111/hsc.12539","ISSN":"0966-0410","issue":"3","page":"e404-e414","title":"Care and support for older adults in The Netherlands living independently","volume":"26","author":[{"family":"Verver","given":"Didi"},{"family":"Merten","given":"Hanneke"},{"family":"Robben","given":"Paul"},{"family":"Wagner","given":"Cordula"}],"issued":{"date-parts":[["2018",5]]}}}],"schema":"https://github.com/citation-style-language/schema/raw/master/csl-citation.json"} </w:instrText>
            </w:r>
            <w:r>
              <w:rPr>
                <w:rFonts w:ascii="Times New Roman" w:eastAsia="Times New Roman" w:hAnsi="Times New Roman"/>
                <w:color w:val="000000"/>
                <w:sz w:val="18"/>
                <w:szCs w:val="20"/>
                <w:lang w:val="en-US" w:eastAsia="fr-FR"/>
              </w:rPr>
              <w:fldChar w:fldCharType="separate"/>
            </w:r>
            <w:r w:rsidRPr="008C0A90">
              <w:rPr>
                <w:rFonts w:ascii="Times New Roman" w:hAnsi="Times New Roman"/>
                <w:sz w:val="18"/>
              </w:rPr>
              <w:t>[26]</w:t>
            </w:r>
            <w:r>
              <w:rPr>
                <w:rFonts w:ascii="Times New Roman" w:eastAsia="Times New Roman" w:hAnsi="Times New Roman"/>
                <w:color w:val="000000"/>
                <w:sz w:val="18"/>
                <w:szCs w:val="20"/>
                <w:lang w:val="en-US" w:eastAsia="fr-FR"/>
              </w:rPr>
              <w:fldChar w:fldCharType="end"/>
            </w:r>
          </w:p>
        </w:tc>
        <w:tc>
          <w:tcPr>
            <w:tcW w:w="321" w:type="pct"/>
            <w:tcBorders>
              <w:top w:val="nil"/>
              <w:left w:val="nil"/>
              <w:bottom w:val="single" w:sz="4" w:space="0" w:color="auto"/>
              <w:right w:val="single" w:sz="4" w:space="0" w:color="auto"/>
            </w:tcBorders>
            <w:textDirection w:val="btLr"/>
          </w:tcPr>
          <w:p w14:paraId="52D56140" w14:textId="77777777" w:rsidR="00EE4BF0" w:rsidRPr="00E85D55" w:rsidRDefault="00EE4BF0" w:rsidP="007D1DAE">
            <w:pPr>
              <w:spacing w:after="0" w:line="240" w:lineRule="auto"/>
              <w:jc w:val="center"/>
              <w:rPr>
                <w:rFonts w:ascii="Times New Roman" w:eastAsia="Times New Roman" w:hAnsi="Times New Roman"/>
                <w:color w:val="000000"/>
                <w:sz w:val="20"/>
                <w:szCs w:val="20"/>
                <w:lang w:val="en-US" w:eastAsia="fr-FR"/>
              </w:rPr>
            </w:pPr>
          </w:p>
        </w:tc>
      </w:tr>
      <w:tr w:rsidR="00EE4BF0" w:rsidRPr="00E85D55" w14:paraId="4EE00C68" w14:textId="77777777" w:rsidTr="007D1DAE">
        <w:trPr>
          <w:trHeight w:val="827"/>
        </w:trPr>
        <w:tc>
          <w:tcPr>
            <w:tcW w:w="104" w:type="pct"/>
            <w:tcBorders>
              <w:top w:val="nil"/>
              <w:left w:val="single" w:sz="4" w:space="0" w:color="auto"/>
              <w:bottom w:val="single" w:sz="4" w:space="0" w:color="auto"/>
              <w:right w:val="single" w:sz="4" w:space="0" w:color="auto"/>
            </w:tcBorders>
            <w:shd w:val="clear" w:color="000000" w:fill="F2F2F2"/>
            <w:noWrap/>
            <w:vAlign w:val="center"/>
            <w:hideMark/>
          </w:tcPr>
          <w:p w14:paraId="39D58680"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color w:val="000000"/>
                <w:sz w:val="20"/>
                <w:szCs w:val="20"/>
              </w:rPr>
              <w:t> </w:t>
            </w:r>
          </w:p>
        </w:tc>
        <w:tc>
          <w:tcPr>
            <w:tcW w:w="880" w:type="pct"/>
            <w:tcBorders>
              <w:top w:val="nil"/>
              <w:left w:val="nil"/>
              <w:bottom w:val="single" w:sz="4" w:space="0" w:color="auto"/>
              <w:right w:val="single" w:sz="4" w:space="0" w:color="auto"/>
            </w:tcBorders>
            <w:shd w:val="clear" w:color="000000" w:fill="F2F2F2"/>
            <w:noWrap/>
            <w:vAlign w:val="center"/>
            <w:hideMark/>
          </w:tcPr>
          <w:p w14:paraId="4F95AD6C"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Interpretation</w:t>
            </w:r>
          </w:p>
        </w:tc>
        <w:tc>
          <w:tcPr>
            <w:tcW w:w="180" w:type="pct"/>
            <w:tcBorders>
              <w:top w:val="nil"/>
              <w:left w:val="nil"/>
              <w:bottom w:val="single" w:sz="4" w:space="0" w:color="auto"/>
              <w:right w:val="single" w:sz="4" w:space="0" w:color="auto"/>
            </w:tcBorders>
            <w:shd w:val="clear" w:color="000000" w:fill="F2F2F2"/>
            <w:vAlign w:val="center"/>
            <w:hideMark/>
          </w:tcPr>
          <w:p w14:paraId="3C2AE8A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2" w:type="pct"/>
            <w:tcBorders>
              <w:top w:val="nil"/>
              <w:left w:val="nil"/>
              <w:bottom w:val="single" w:sz="4" w:space="0" w:color="auto"/>
              <w:right w:val="single" w:sz="4" w:space="0" w:color="auto"/>
            </w:tcBorders>
            <w:shd w:val="clear" w:color="000000" w:fill="F2F2F2"/>
            <w:vAlign w:val="center"/>
            <w:hideMark/>
          </w:tcPr>
          <w:p w14:paraId="552CB93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2" w:type="pct"/>
            <w:tcBorders>
              <w:top w:val="nil"/>
              <w:left w:val="nil"/>
              <w:bottom w:val="single" w:sz="4" w:space="0" w:color="auto"/>
              <w:right w:val="single" w:sz="4" w:space="0" w:color="auto"/>
            </w:tcBorders>
            <w:shd w:val="clear" w:color="000000" w:fill="F2F2F2"/>
            <w:vAlign w:val="center"/>
            <w:hideMark/>
          </w:tcPr>
          <w:p w14:paraId="2FC97B2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26" w:type="pct"/>
            <w:tcBorders>
              <w:top w:val="nil"/>
              <w:left w:val="nil"/>
              <w:bottom w:val="single" w:sz="4" w:space="0" w:color="auto"/>
              <w:right w:val="single" w:sz="4" w:space="0" w:color="auto"/>
            </w:tcBorders>
            <w:shd w:val="clear" w:color="000000" w:fill="F2F2F2"/>
            <w:vAlign w:val="center"/>
            <w:hideMark/>
          </w:tcPr>
          <w:p w14:paraId="5F870FD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73" w:type="pct"/>
            <w:tcBorders>
              <w:top w:val="nil"/>
              <w:left w:val="nil"/>
              <w:bottom w:val="single" w:sz="4" w:space="0" w:color="auto"/>
              <w:right w:val="single" w:sz="4" w:space="0" w:color="auto"/>
            </w:tcBorders>
            <w:shd w:val="clear" w:color="000000" w:fill="F2F2F2"/>
            <w:vAlign w:val="center"/>
            <w:hideMark/>
          </w:tcPr>
          <w:p w14:paraId="5B768DA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0" w:type="pct"/>
            <w:tcBorders>
              <w:top w:val="nil"/>
              <w:left w:val="nil"/>
              <w:bottom w:val="single" w:sz="4" w:space="0" w:color="auto"/>
              <w:right w:val="single" w:sz="4" w:space="0" w:color="auto"/>
            </w:tcBorders>
            <w:shd w:val="clear" w:color="000000" w:fill="F2F2F2"/>
            <w:vAlign w:val="center"/>
            <w:hideMark/>
          </w:tcPr>
          <w:p w14:paraId="6E26345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73" w:type="pct"/>
            <w:tcBorders>
              <w:top w:val="nil"/>
              <w:left w:val="nil"/>
              <w:bottom w:val="single" w:sz="4" w:space="0" w:color="auto"/>
              <w:right w:val="single" w:sz="4" w:space="0" w:color="auto"/>
            </w:tcBorders>
            <w:shd w:val="clear" w:color="000000" w:fill="F2F2F2"/>
            <w:vAlign w:val="center"/>
            <w:hideMark/>
          </w:tcPr>
          <w:p w14:paraId="4AB399B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73" w:type="pct"/>
            <w:tcBorders>
              <w:top w:val="nil"/>
              <w:left w:val="nil"/>
              <w:bottom w:val="single" w:sz="4" w:space="0" w:color="auto"/>
              <w:right w:val="single" w:sz="4" w:space="0" w:color="auto"/>
            </w:tcBorders>
            <w:shd w:val="clear" w:color="000000" w:fill="F2F2F2"/>
            <w:vAlign w:val="center"/>
            <w:hideMark/>
          </w:tcPr>
          <w:p w14:paraId="671C074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4" w:type="pct"/>
            <w:tcBorders>
              <w:top w:val="nil"/>
              <w:left w:val="nil"/>
              <w:bottom w:val="single" w:sz="4" w:space="0" w:color="auto"/>
              <w:right w:val="single" w:sz="4" w:space="0" w:color="auto"/>
            </w:tcBorders>
            <w:shd w:val="clear" w:color="000000" w:fill="F2F2F2"/>
            <w:vAlign w:val="center"/>
            <w:hideMark/>
          </w:tcPr>
          <w:p w14:paraId="394FD87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29" w:type="pct"/>
            <w:tcBorders>
              <w:top w:val="nil"/>
              <w:left w:val="nil"/>
              <w:bottom w:val="single" w:sz="4" w:space="0" w:color="auto"/>
              <w:right w:val="single" w:sz="4" w:space="0" w:color="auto"/>
            </w:tcBorders>
            <w:shd w:val="clear" w:color="000000" w:fill="F2F2F2"/>
            <w:vAlign w:val="center"/>
            <w:hideMark/>
          </w:tcPr>
          <w:p w14:paraId="472FB3A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27" w:type="pct"/>
            <w:tcBorders>
              <w:top w:val="nil"/>
              <w:left w:val="nil"/>
              <w:bottom w:val="single" w:sz="4" w:space="0" w:color="auto"/>
              <w:right w:val="single" w:sz="4" w:space="0" w:color="auto"/>
            </w:tcBorders>
            <w:shd w:val="clear" w:color="000000" w:fill="F2F2F2"/>
            <w:vAlign w:val="center"/>
            <w:hideMark/>
          </w:tcPr>
          <w:p w14:paraId="0C0CF66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64" w:type="pct"/>
            <w:tcBorders>
              <w:top w:val="nil"/>
              <w:left w:val="nil"/>
              <w:bottom w:val="single" w:sz="4" w:space="0" w:color="auto"/>
              <w:right w:val="single" w:sz="4" w:space="0" w:color="auto"/>
            </w:tcBorders>
            <w:shd w:val="clear" w:color="000000" w:fill="F2F2F2"/>
            <w:vAlign w:val="center"/>
            <w:hideMark/>
          </w:tcPr>
          <w:p w14:paraId="6854846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64" w:type="pct"/>
            <w:tcBorders>
              <w:top w:val="nil"/>
              <w:left w:val="nil"/>
              <w:bottom w:val="single" w:sz="4" w:space="0" w:color="auto"/>
              <w:right w:val="single" w:sz="4" w:space="0" w:color="auto"/>
            </w:tcBorders>
            <w:shd w:val="clear" w:color="000000" w:fill="F2F2F2"/>
            <w:vAlign w:val="center"/>
            <w:hideMark/>
          </w:tcPr>
          <w:p w14:paraId="0D6796B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000000" w:fill="F2F2F2"/>
            <w:vAlign w:val="center"/>
            <w:hideMark/>
          </w:tcPr>
          <w:p w14:paraId="5A0CDE2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195" w:type="pct"/>
            <w:tcBorders>
              <w:top w:val="nil"/>
              <w:left w:val="nil"/>
              <w:bottom w:val="single" w:sz="4" w:space="0" w:color="auto"/>
              <w:right w:val="single" w:sz="4" w:space="0" w:color="auto"/>
            </w:tcBorders>
            <w:shd w:val="clear" w:color="000000" w:fill="F2F2F2"/>
            <w:vAlign w:val="center"/>
            <w:hideMark/>
          </w:tcPr>
          <w:p w14:paraId="3AB2DCC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29" w:type="pct"/>
            <w:tcBorders>
              <w:top w:val="nil"/>
              <w:left w:val="nil"/>
              <w:bottom w:val="single" w:sz="4" w:space="0" w:color="auto"/>
              <w:right w:val="single" w:sz="4" w:space="0" w:color="auto"/>
            </w:tcBorders>
            <w:shd w:val="clear" w:color="000000" w:fill="F2F2F2"/>
            <w:vAlign w:val="center"/>
            <w:hideMark/>
          </w:tcPr>
          <w:p w14:paraId="7ACB8B2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263" w:type="pct"/>
            <w:tcBorders>
              <w:top w:val="nil"/>
              <w:left w:val="nil"/>
              <w:bottom w:val="single" w:sz="4" w:space="0" w:color="auto"/>
              <w:right w:val="single" w:sz="4" w:space="0" w:color="auto"/>
            </w:tcBorders>
            <w:shd w:val="clear" w:color="000000" w:fill="F2F2F2"/>
            <w:vAlign w:val="center"/>
            <w:hideMark/>
          </w:tcPr>
          <w:p w14:paraId="6DA5B24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321" w:type="pct"/>
            <w:tcBorders>
              <w:top w:val="nil"/>
              <w:left w:val="nil"/>
              <w:bottom w:val="single" w:sz="4" w:space="0" w:color="auto"/>
              <w:right w:val="single" w:sz="4" w:space="0" w:color="auto"/>
            </w:tcBorders>
            <w:shd w:val="clear" w:color="000000" w:fill="F2F2F2"/>
          </w:tcPr>
          <w:p w14:paraId="08B62618" w14:textId="77777777" w:rsidR="00EE4BF0" w:rsidRPr="00E85D55" w:rsidRDefault="00EE4BF0" w:rsidP="007D1DAE">
            <w:pPr>
              <w:spacing w:after="0" w:line="480" w:lineRule="auto"/>
              <w:jc w:val="center"/>
              <w:rPr>
                <w:rFonts w:ascii="Times New Roman" w:hAnsi="Times New Roman"/>
                <w:color w:val="000000"/>
                <w:sz w:val="20"/>
                <w:szCs w:val="20"/>
              </w:rPr>
            </w:pPr>
          </w:p>
        </w:tc>
      </w:tr>
      <w:tr w:rsidR="00EE4BF0" w:rsidRPr="00E85D55" w14:paraId="066DF53A" w14:textId="77777777" w:rsidTr="007D1DAE">
        <w:trPr>
          <w:trHeight w:val="270"/>
        </w:trPr>
        <w:tc>
          <w:tcPr>
            <w:tcW w:w="104" w:type="pct"/>
            <w:tcBorders>
              <w:top w:val="nil"/>
              <w:left w:val="single" w:sz="4" w:space="0" w:color="auto"/>
              <w:bottom w:val="single" w:sz="4" w:space="0" w:color="auto"/>
              <w:right w:val="single" w:sz="4" w:space="0" w:color="auto"/>
            </w:tcBorders>
            <w:shd w:val="clear" w:color="000000" w:fill="F2F2F2"/>
            <w:noWrap/>
            <w:vAlign w:val="center"/>
            <w:hideMark/>
          </w:tcPr>
          <w:p w14:paraId="0448D9A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 </w:t>
            </w:r>
          </w:p>
        </w:tc>
        <w:tc>
          <w:tcPr>
            <w:tcW w:w="880" w:type="pct"/>
            <w:tcBorders>
              <w:top w:val="nil"/>
              <w:left w:val="nil"/>
              <w:bottom w:val="single" w:sz="4" w:space="0" w:color="auto"/>
              <w:right w:val="single" w:sz="4" w:space="0" w:color="auto"/>
            </w:tcBorders>
            <w:shd w:val="clear" w:color="000000" w:fill="F2F2F2"/>
            <w:noWrap/>
            <w:vAlign w:val="center"/>
            <w:hideMark/>
          </w:tcPr>
          <w:p w14:paraId="79D1EC3F"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vertAlign w:val="superscript"/>
                <w:lang w:eastAsia="fr-FR"/>
              </w:rPr>
            </w:pPr>
            <w:r w:rsidRPr="00E85D55">
              <w:rPr>
                <w:rFonts w:ascii="Times New Roman" w:hAnsi="Times New Roman"/>
                <w:b/>
                <w:bCs/>
                <w:color w:val="000000"/>
                <w:sz w:val="20"/>
                <w:szCs w:val="20"/>
              </w:rPr>
              <w:t>Subscale score (0 to 4)</w:t>
            </w:r>
          </w:p>
        </w:tc>
        <w:tc>
          <w:tcPr>
            <w:tcW w:w="180" w:type="pct"/>
            <w:tcBorders>
              <w:top w:val="nil"/>
              <w:left w:val="nil"/>
              <w:bottom w:val="single" w:sz="4" w:space="0" w:color="auto"/>
              <w:right w:val="single" w:sz="4" w:space="0" w:color="auto"/>
            </w:tcBorders>
            <w:shd w:val="clear" w:color="000000" w:fill="F2F2F2"/>
            <w:noWrap/>
            <w:vAlign w:val="center"/>
            <w:hideMark/>
          </w:tcPr>
          <w:p w14:paraId="05612946"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192" w:type="pct"/>
            <w:tcBorders>
              <w:top w:val="nil"/>
              <w:left w:val="nil"/>
              <w:bottom w:val="single" w:sz="4" w:space="0" w:color="auto"/>
              <w:right w:val="single" w:sz="4" w:space="0" w:color="auto"/>
            </w:tcBorders>
            <w:shd w:val="clear" w:color="000000" w:fill="F2F2F2"/>
            <w:noWrap/>
            <w:vAlign w:val="center"/>
            <w:hideMark/>
          </w:tcPr>
          <w:p w14:paraId="7B79039F"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192" w:type="pct"/>
            <w:tcBorders>
              <w:top w:val="nil"/>
              <w:left w:val="nil"/>
              <w:bottom w:val="single" w:sz="4" w:space="0" w:color="auto"/>
              <w:right w:val="single" w:sz="4" w:space="0" w:color="auto"/>
            </w:tcBorders>
            <w:shd w:val="clear" w:color="000000" w:fill="F2F2F2"/>
            <w:noWrap/>
            <w:vAlign w:val="center"/>
            <w:hideMark/>
          </w:tcPr>
          <w:p w14:paraId="6C8CD682"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4</w:t>
            </w:r>
          </w:p>
        </w:tc>
        <w:tc>
          <w:tcPr>
            <w:tcW w:w="226" w:type="pct"/>
            <w:tcBorders>
              <w:top w:val="nil"/>
              <w:left w:val="nil"/>
              <w:bottom w:val="single" w:sz="4" w:space="0" w:color="auto"/>
              <w:right w:val="single" w:sz="4" w:space="0" w:color="auto"/>
            </w:tcBorders>
            <w:shd w:val="clear" w:color="000000" w:fill="F2F2F2"/>
            <w:noWrap/>
            <w:vAlign w:val="center"/>
            <w:hideMark/>
          </w:tcPr>
          <w:p w14:paraId="720E1ADB"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4</w:t>
            </w:r>
          </w:p>
        </w:tc>
        <w:tc>
          <w:tcPr>
            <w:tcW w:w="173" w:type="pct"/>
            <w:tcBorders>
              <w:top w:val="nil"/>
              <w:left w:val="nil"/>
              <w:bottom w:val="single" w:sz="4" w:space="0" w:color="auto"/>
              <w:right w:val="single" w:sz="4" w:space="0" w:color="auto"/>
            </w:tcBorders>
            <w:shd w:val="clear" w:color="000000" w:fill="F2F2F2"/>
            <w:noWrap/>
            <w:vAlign w:val="center"/>
            <w:hideMark/>
          </w:tcPr>
          <w:p w14:paraId="2229377A"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190" w:type="pct"/>
            <w:tcBorders>
              <w:top w:val="nil"/>
              <w:left w:val="nil"/>
              <w:bottom w:val="single" w:sz="4" w:space="0" w:color="auto"/>
              <w:right w:val="single" w:sz="4" w:space="0" w:color="auto"/>
            </w:tcBorders>
            <w:shd w:val="clear" w:color="000000" w:fill="F2F2F2"/>
            <w:noWrap/>
            <w:vAlign w:val="center"/>
            <w:hideMark/>
          </w:tcPr>
          <w:p w14:paraId="2241F6CC"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4</w:t>
            </w:r>
          </w:p>
        </w:tc>
        <w:tc>
          <w:tcPr>
            <w:tcW w:w="173" w:type="pct"/>
            <w:tcBorders>
              <w:top w:val="nil"/>
              <w:left w:val="nil"/>
              <w:bottom w:val="single" w:sz="4" w:space="0" w:color="auto"/>
              <w:right w:val="single" w:sz="4" w:space="0" w:color="auto"/>
            </w:tcBorders>
            <w:shd w:val="clear" w:color="000000" w:fill="F2F2F2"/>
            <w:noWrap/>
            <w:vAlign w:val="center"/>
            <w:hideMark/>
          </w:tcPr>
          <w:p w14:paraId="57A5C1C8"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4</w:t>
            </w:r>
          </w:p>
        </w:tc>
        <w:tc>
          <w:tcPr>
            <w:tcW w:w="173" w:type="pct"/>
            <w:tcBorders>
              <w:top w:val="nil"/>
              <w:left w:val="nil"/>
              <w:bottom w:val="single" w:sz="4" w:space="0" w:color="auto"/>
              <w:right w:val="single" w:sz="4" w:space="0" w:color="auto"/>
            </w:tcBorders>
            <w:shd w:val="clear" w:color="000000" w:fill="F2F2F2"/>
            <w:noWrap/>
            <w:vAlign w:val="center"/>
            <w:hideMark/>
          </w:tcPr>
          <w:p w14:paraId="0D07EF0D"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194" w:type="pct"/>
            <w:tcBorders>
              <w:top w:val="nil"/>
              <w:left w:val="nil"/>
              <w:bottom w:val="single" w:sz="4" w:space="0" w:color="auto"/>
              <w:right w:val="single" w:sz="4" w:space="0" w:color="auto"/>
            </w:tcBorders>
            <w:shd w:val="clear" w:color="000000" w:fill="F2F2F2"/>
            <w:noWrap/>
            <w:vAlign w:val="center"/>
            <w:hideMark/>
          </w:tcPr>
          <w:p w14:paraId="046A6D97"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4</w:t>
            </w:r>
          </w:p>
        </w:tc>
        <w:tc>
          <w:tcPr>
            <w:tcW w:w="229" w:type="pct"/>
            <w:tcBorders>
              <w:top w:val="nil"/>
              <w:left w:val="nil"/>
              <w:bottom w:val="single" w:sz="4" w:space="0" w:color="auto"/>
              <w:right w:val="single" w:sz="4" w:space="0" w:color="auto"/>
            </w:tcBorders>
            <w:shd w:val="clear" w:color="000000" w:fill="F2F2F2"/>
            <w:noWrap/>
            <w:vAlign w:val="center"/>
            <w:hideMark/>
          </w:tcPr>
          <w:p w14:paraId="01FADF40"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227" w:type="pct"/>
            <w:tcBorders>
              <w:top w:val="nil"/>
              <w:left w:val="nil"/>
              <w:bottom w:val="single" w:sz="4" w:space="0" w:color="auto"/>
              <w:right w:val="single" w:sz="4" w:space="0" w:color="auto"/>
            </w:tcBorders>
            <w:shd w:val="clear" w:color="000000" w:fill="F2F2F2"/>
            <w:noWrap/>
            <w:vAlign w:val="center"/>
            <w:hideMark/>
          </w:tcPr>
          <w:p w14:paraId="10533FDE"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264" w:type="pct"/>
            <w:tcBorders>
              <w:top w:val="nil"/>
              <w:left w:val="nil"/>
              <w:bottom w:val="single" w:sz="4" w:space="0" w:color="auto"/>
              <w:right w:val="single" w:sz="4" w:space="0" w:color="auto"/>
            </w:tcBorders>
            <w:shd w:val="clear" w:color="000000" w:fill="F2F2F2"/>
            <w:noWrap/>
            <w:vAlign w:val="center"/>
            <w:hideMark/>
          </w:tcPr>
          <w:p w14:paraId="64C5E22B"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264" w:type="pct"/>
            <w:tcBorders>
              <w:top w:val="nil"/>
              <w:left w:val="nil"/>
              <w:bottom w:val="single" w:sz="4" w:space="0" w:color="auto"/>
              <w:right w:val="single" w:sz="4" w:space="0" w:color="auto"/>
            </w:tcBorders>
            <w:shd w:val="clear" w:color="000000" w:fill="F2F2F2"/>
            <w:noWrap/>
            <w:vAlign w:val="center"/>
            <w:hideMark/>
          </w:tcPr>
          <w:p w14:paraId="16827725"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331" w:type="pct"/>
            <w:tcBorders>
              <w:top w:val="nil"/>
              <w:left w:val="nil"/>
              <w:bottom w:val="single" w:sz="4" w:space="0" w:color="auto"/>
              <w:right w:val="single" w:sz="4" w:space="0" w:color="auto"/>
            </w:tcBorders>
            <w:shd w:val="clear" w:color="000000" w:fill="F2F2F2"/>
            <w:noWrap/>
            <w:vAlign w:val="center"/>
            <w:hideMark/>
          </w:tcPr>
          <w:p w14:paraId="26219305"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195" w:type="pct"/>
            <w:tcBorders>
              <w:top w:val="nil"/>
              <w:left w:val="nil"/>
              <w:bottom w:val="single" w:sz="4" w:space="0" w:color="auto"/>
              <w:right w:val="single" w:sz="4" w:space="0" w:color="auto"/>
            </w:tcBorders>
            <w:shd w:val="clear" w:color="000000" w:fill="F2F2F2"/>
            <w:noWrap/>
            <w:vAlign w:val="center"/>
            <w:hideMark/>
          </w:tcPr>
          <w:p w14:paraId="7111F2B7"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229" w:type="pct"/>
            <w:tcBorders>
              <w:top w:val="nil"/>
              <w:left w:val="nil"/>
              <w:bottom w:val="single" w:sz="4" w:space="0" w:color="auto"/>
              <w:right w:val="single" w:sz="4" w:space="0" w:color="auto"/>
            </w:tcBorders>
            <w:shd w:val="clear" w:color="000000" w:fill="F2F2F2"/>
            <w:noWrap/>
            <w:vAlign w:val="center"/>
            <w:hideMark/>
          </w:tcPr>
          <w:p w14:paraId="589956C2"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263" w:type="pct"/>
            <w:tcBorders>
              <w:top w:val="nil"/>
              <w:left w:val="nil"/>
              <w:bottom w:val="single" w:sz="4" w:space="0" w:color="auto"/>
              <w:right w:val="single" w:sz="4" w:space="0" w:color="auto"/>
            </w:tcBorders>
            <w:shd w:val="clear" w:color="000000" w:fill="F2F2F2"/>
            <w:noWrap/>
            <w:vAlign w:val="center"/>
            <w:hideMark/>
          </w:tcPr>
          <w:p w14:paraId="0DA2291F"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eastAsia="fr-FR"/>
              </w:rPr>
            </w:pPr>
            <w:r w:rsidRPr="00E85D55">
              <w:rPr>
                <w:rFonts w:ascii="Times New Roman" w:hAnsi="Times New Roman"/>
                <w:b/>
                <w:bCs/>
                <w:color w:val="000000"/>
                <w:sz w:val="20"/>
                <w:szCs w:val="20"/>
              </w:rPr>
              <w:t>3</w:t>
            </w:r>
          </w:p>
        </w:tc>
        <w:tc>
          <w:tcPr>
            <w:tcW w:w="321" w:type="pct"/>
            <w:tcBorders>
              <w:top w:val="nil"/>
              <w:left w:val="nil"/>
              <w:bottom w:val="single" w:sz="4" w:space="0" w:color="auto"/>
              <w:right w:val="single" w:sz="4" w:space="0" w:color="auto"/>
            </w:tcBorders>
            <w:shd w:val="clear" w:color="000000" w:fill="F2F2F2"/>
          </w:tcPr>
          <w:p w14:paraId="2110392B" w14:textId="77777777" w:rsidR="00EE4BF0" w:rsidRPr="00E85D55" w:rsidRDefault="00EE4BF0" w:rsidP="007D1DAE">
            <w:pPr>
              <w:spacing w:after="0" w:line="480" w:lineRule="auto"/>
              <w:jc w:val="center"/>
              <w:rPr>
                <w:rFonts w:ascii="Times New Roman" w:hAnsi="Times New Roman"/>
                <w:b/>
                <w:bCs/>
                <w:color w:val="000000"/>
                <w:sz w:val="20"/>
                <w:szCs w:val="20"/>
              </w:rPr>
            </w:pPr>
            <w:r w:rsidRPr="00E85D55">
              <w:rPr>
                <w:rFonts w:ascii="Times New Roman" w:hAnsi="Times New Roman"/>
                <w:b/>
                <w:bCs/>
                <w:color w:val="000000"/>
                <w:sz w:val="20"/>
                <w:szCs w:val="20"/>
              </w:rPr>
              <w:t>Average score : 3,3</w:t>
            </w:r>
          </w:p>
        </w:tc>
      </w:tr>
      <w:tr w:rsidR="00EE4BF0" w:rsidRPr="00E85D55" w14:paraId="4FEA29EA" w14:textId="77777777" w:rsidTr="007D1DAE">
        <w:trPr>
          <w:trHeight w:val="540"/>
        </w:trPr>
        <w:tc>
          <w:tcPr>
            <w:tcW w:w="104" w:type="pct"/>
            <w:tcBorders>
              <w:top w:val="nil"/>
              <w:left w:val="single" w:sz="4" w:space="0" w:color="auto"/>
              <w:bottom w:val="single" w:sz="4" w:space="0" w:color="auto"/>
              <w:right w:val="single" w:sz="4" w:space="0" w:color="auto"/>
            </w:tcBorders>
            <w:shd w:val="clear" w:color="000000" w:fill="FFFFFF"/>
            <w:noWrap/>
            <w:vAlign w:val="center"/>
            <w:hideMark/>
          </w:tcPr>
          <w:p w14:paraId="436553F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880" w:type="pct"/>
            <w:tcBorders>
              <w:top w:val="nil"/>
              <w:left w:val="nil"/>
              <w:bottom w:val="single" w:sz="4" w:space="0" w:color="auto"/>
              <w:right w:val="single" w:sz="4" w:space="0" w:color="auto"/>
            </w:tcBorders>
            <w:shd w:val="clear" w:color="000000" w:fill="FFFFFF"/>
            <w:vAlign w:val="center"/>
            <w:hideMark/>
          </w:tcPr>
          <w:p w14:paraId="2151FBE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Were the results consistent with prior known information or if not was an adequate explanation provided?</w:t>
            </w:r>
          </w:p>
        </w:tc>
        <w:tc>
          <w:tcPr>
            <w:tcW w:w="180" w:type="pct"/>
            <w:tcBorders>
              <w:top w:val="nil"/>
              <w:left w:val="nil"/>
              <w:bottom w:val="single" w:sz="4" w:space="0" w:color="auto"/>
              <w:right w:val="single" w:sz="4" w:space="0" w:color="auto"/>
            </w:tcBorders>
            <w:shd w:val="clear" w:color="000000" w:fill="FFFFFF"/>
            <w:noWrap/>
            <w:vAlign w:val="center"/>
            <w:hideMark/>
          </w:tcPr>
          <w:p w14:paraId="613A6F7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hideMark/>
          </w:tcPr>
          <w:p w14:paraId="19D3F7B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hideMark/>
          </w:tcPr>
          <w:p w14:paraId="73D1D64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6" w:type="pct"/>
            <w:tcBorders>
              <w:top w:val="nil"/>
              <w:left w:val="nil"/>
              <w:bottom w:val="single" w:sz="4" w:space="0" w:color="auto"/>
              <w:right w:val="single" w:sz="4" w:space="0" w:color="auto"/>
            </w:tcBorders>
            <w:shd w:val="clear" w:color="000000" w:fill="FFFFFF"/>
            <w:noWrap/>
            <w:vAlign w:val="center"/>
            <w:hideMark/>
          </w:tcPr>
          <w:p w14:paraId="54165C9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3" w:type="pct"/>
            <w:tcBorders>
              <w:top w:val="nil"/>
              <w:left w:val="nil"/>
              <w:bottom w:val="single" w:sz="4" w:space="0" w:color="auto"/>
              <w:right w:val="single" w:sz="4" w:space="0" w:color="auto"/>
            </w:tcBorders>
            <w:shd w:val="clear" w:color="000000" w:fill="FFFFFF"/>
            <w:noWrap/>
            <w:vAlign w:val="center"/>
            <w:hideMark/>
          </w:tcPr>
          <w:p w14:paraId="78EB4EB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0" w:type="pct"/>
            <w:tcBorders>
              <w:top w:val="nil"/>
              <w:left w:val="nil"/>
              <w:bottom w:val="single" w:sz="4" w:space="0" w:color="auto"/>
              <w:right w:val="single" w:sz="4" w:space="0" w:color="auto"/>
            </w:tcBorders>
            <w:shd w:val="clear" w:color="000000" w:fill="FFFFFF"/>
            <w:noWrap/>
            <w:vAlign w:val="center"/>
            <w:hideMark/>
          </w:tcPr>
          <w:p w14:paraId="7636D8D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3" w:type="pct"/>
            <w:tcBorders>
              <w:top w:val="nil"/>
              <w:left w:val="nil"/>
              <w:bottom w:val="single" w:sz="4" w:space="0" w:color="auto"/>
              <w:right w:val="single" w:sz="4" w:space="0" w:color="auto"/>
            </w:tcBorders>
            <w:shd w:val="clear" w:color="000000" w:fill="FFFFFF"/>
            <w:noWrap/>
            <w:vAlign w:val="center"/>
            <w:hideMark/>
          </w:tcPr>
          <w:p w14:paraId="3129390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3" w:type="pct"/>
            <w:tcBorders>
              <w:top w:val="nil"/>
              <w:left w:val="nil"/>
              <w:bottom w:val="single" w:sz="4" w:space="0" w:color="auto"/>
              <w:right w:val="single" w:sz="4" w:space="0" w:color="auto"/>
            </w:tcBorders>
            <w:shd w:val="clear" w:color="000000" w:fill="FFFFFF"/>
            <w:noWrap/>
            <w:vAlign w:val="center"/>
            <w:hideMark/>
          </w:tcPr>
          <w:p w14:paraId="157D665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06CBABD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4E8C0C3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7" w:type="pct"/>
            <w:tcBorders>
              <w:top w:val="nil"/>
              <w:left w:val="nil"/>
              <w:bottom w:val="single" w:sz="4" w:space="0" w:color="auto"/>
              <w:right w:val="single" w:sz="4" w:space="0" w:color="auto"/>
            </w:tcBorders>
            <w:shd w:val="clear" w:color="000000" w:fill="FFFFFF"/>
            <w:noWrap/>
            <w:vAlign w:val="center"/>
            <w:hideMark/>
          </w:tcPr>
          <w:p w14:paraId="6DBE04F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4" w:type="pct"/>
            <w:tcBorders>
              <w:top w:val="nil"/>
              <w:left w:val="nil"/>
              <w:bottom w:val="single" w:sz="4" w:space="0" w:color="auto"/>
              <w:right w:val="single" w:sz="4" w:space="0" w:color="auto"/>
            </w:tcBorders>
            <w:shd w:val="clear" w:color="000000" w:fill="FFFFFF"/>
            <w:noWrap/>
            <w:vAlign w:val="center"/>
            <w:hideMark/>
          </w:tcPr>
          <w:p w14:paraId="2DD0F67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4" w:type="pct"/>
            <w:tcBorders>
              <w:top w:val="nil"/>
              <w:left w:val="nil"/>
              <w:bottom w:val="single" w:sz="4" w:space="0" w:color="auto"/>
              <w:right w:val="single" w:sz="4" w:space="0" w:color="auto"/>
            </w:tcBorders>
            <w:shd w:val="clear" w:color="000000" w:fill="FFFFFF"/>
            <w:noWrap/>
            <w:vAlign w:val="center"/>
            <w:hideMark/>
          </w:tcPr>
          <w:p w14:paraId="448BBD0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31" w:type="pct"/>
            <w:tcBorders>
              <w:top w:val="nil"/>
              <w:left w:val="nil"/>
              <w:bottom w:val="single" w:sz="4" w:space="0" w:color="auto"/>
              <w:right w:val="single" w:sz="4" w:space="0" w:color="auto"/>
            </w:tcBorders>
            <w:shd w:val="clear" w:color="000000" w:fill="FFFFFF"/>
            <w:noWrap/>
            <w:vAlign w:val="center"/>
            <w:hideMark/>
          </w:tcPr>
          <w:p w14:paraId="3FE0475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5" w:type="pct"/>
            <w:tcBorders>
              <w:top w:val="nil"/>
              <w:left w:val="nil"/>
              <w:bottom w:val="single" w:sz="4" w:space="0" w:color="auto"/>
              <w:right w:val="single" w:sz="4" w:space="0" w:color="auto"/>
            </w:tcBorders>
            <w:shd w:val="clear" w:color="000000" w:fill="FFFFFF"/>
            <w:noWrap/>
            <w:vAlign w:val="center"/>
            <w:hideMark/>
          </w:tcPr>
          <w:p w14:paraId="1A1D56C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7296F46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3" w:type="pct"/>
            <w:tcBorders>
              <w:top w:val="nil"/>
              <w:left w:val="nil"/>
              <w:bottom w:val="single" w:sz="4" w:space="0" w:color="auto"/>
              <w:right w:val="single" w:sz="4" w:space="0" w:color="auto"/>
            </w:tcBorders>
            <w:shd w:val="clear" w:color="000000" w:fill="FFFFFF"/>
            <w:noWrap/>
            <w:vAlign w:val="center"/>
            <w:hideMark/>
          </w:tcPr>
          <w:p w14:paraId="242ABA4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21" w:type="pct"/>
            <w:tcBorders>
              <w:top w:val="nil"/>
              <w:left w:val="nil"/>
              <w:bottom w:val="single" w:sz="4" w:space="0" w:color="auto"/>
              <w:right w:val="single" w:sz="4" w:space="0" w:color="auto"/>
            </w:tcBorders>
            <w:shd w:val="clear" w:color="000000" w:fill="FFFFFF"/>
          </w:tcPr>
          <w:p w14:paraId="163A26AB"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17</w:t>
            </w:r>
          </w:p>
        </w:tc>
      </w:tr>
      <w:tr w:rsidR="00EE4BF0" w:rsidRPr="00E85D55" w14:paraId="0AAC25A9" w14:textId="77777777" w:rsidTr="007D1DAE">
        <w:trPr>
          <w:trHeight w:val="1351"/>
        </w:trPr>
        <w:tc>
          <w:tcPr>
            <w:tcW w:w="104" w:type="pct"/>
            <w:tcBorders>
              <w:top w:val="nil"/>
              <w:left w:val="single" w:sz="4" w:space="0" w:color="auto"/>
              <w:bottom w:val="single" w:sz="4" w:space="0" w:color="auto"/>
              <w:right w:val="single" w:sz="4" w:space="0" w:color="auto"/>
            </w:tcBorders>
            <w:shd w:val="clear" w:color="000000" w:fill="FFFFFF"/>
            <w:noWrap/>
            <w:vAlign w:val="center"/>
            <w:hideMark/>
          </w:tcPr>
          <w:p w14:paraId="6556CDE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2</w:t>
            </w:r>
          </w:p>
        </w:tc>
        <w:tc>
          <w:tcPr>
            <w:tcW w:w="880" w:type="pct"/>
            <w:tcBorders>
              <w:top w:val="nil"/>
              <w:left w:val="nil"/>
              <w:bottom w:val="single" w:sz="4" w:space="0" w:color="auto"/>
              <w:right w:val="single" w:sz="4" w:space="0" w:color="auto"/>
            </w:tcBorders>
            <w:shd w:val="clear" w:color="000000" w:fill="FFFFFF"/>
            <w:vAlign w:val="center"/>
            <w:hideMark/>
          </w:tcPr>
          <w:p w14:paraId="4E25CCD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Are the observed treatment effects considered clinically meaningful?</w:t>
            </w:r>
          </w:p>
        </w:tc>
        <w:tc>
          <w:tcPr>
            <w:tcW w:w="180" w:type="pct"/>
            <w:tcBorders>
              <w:top w:val="nil"/>
              <w:left w:val="nil"/>
              <w:bottom w:val="single" w:sz="4" w:space="0" w:color="auto"/>
              <w:right w:val="single" w:sz="4" w:space="0" w:color="auto"/>
            </w:tcBorders>
            <w:shd w:val="clear" w:color="000000" w:fill="FFFFFF"/>
            <w:noWrap/>
            <w:vAlign w:val="center"/>
            <w:hideMark/>
          </w:tcPr>
          <w:p w14:paraId="1B31321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hideMark/>
          </w:tcPr>
          <w:p w14:paraId="495BAD9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hideMark/>
          </w:tcPr>
          <w:p w14:paraId="5D1E6E4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6" w:type="pct"/>
            <w:tcBorders>
              <w:top w:val="nil"/>
              <w:left w:val="nil"/>
              <w:bottom w:val="single" w:sz="4" w:space="0" w:color="auto"/>
              <w:right w:val="single" w:sz="4" w:space="0" w:color="auto"/>
            </w:tcBorders>
            <w:shd w:val="clear" w:color="000000" w:fill="FFFFFF"/>
            <w:noWrap/>
            <w:vAlign w:val="center"/>
            <w:hideMark/>
          </w:tcPr>
          <w:p w14:paraId="7378F15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3" w:type="pct"/>
            <w:tcBorders>
              <w:top w:val="nil"/>
              <w:left w:val="nil"/>
              <w:bottom w:val="single" w:sz="4" w:space="0" w:color="auto"/>
              <w:right w:val="single" w:sz="4" w:space="0" w:color="auto"/>
            </w:tcBorders>
            <w:shd w:val="clear" w:color="000000" w:fill="FFFFFF"/>
            <w:noWrap/>
            <w:vAlign w:val="center"/>
            <w:hideMark/>
          </w:tcPr>
          <w:p w14:paraId="01CF206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0" w:type="pct"/>
            <w:tcBorders>
              <w:top w:val="nil"/>
              <w:left w:val="nil"/>
              <w:bottom w:val="single" w:sz="4" w:space="0" w:color="auto"/>
              <w:right w:val="single" w:sz="4" w:space="0" w:color="auto"/>
            </w:tcBorders>
            <w:shd w:val="clear" w:color="000000" w:fill="FFFFFF"/>
            <w:noWrap/>
            <w:vAlign w:val="center"/>
            <w:hideMark/>
          </w:tcPr>
          <w:p w14:paraId="021BA14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3" w:type="pct"/>
            <w:tcBorders>
              <w:top w:val="nil"/>
              <w:left w:val="nil"/>
              <w:bottom w:val="single" w:sz="4" w:space="0" w:color="auto"/>
              <w:right w:val="single" w:sz="4" w:space="0" w:color="auto"/>
            </w:tcBorders>
            <w:shd w:val="clear" w:color="000000" w:fill="FFFFFF"/>
            <w:noWrap/>
            <w:vAlign w:val="center"/>
            <w:hideMark/>
          </w:tcPr>
          <w:p w14:paraId="79071D0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3" w:type="pct"/>
            <w:tcBorders>
              <w:top w:val="nil"/>
              <w:left w:val="nil"/>
              <w:bottom w:val="single" w:sz="4" w:space="0" w:color="auto"/>
              <w:right w:val="single" w:sz="4" w:space="0" w:color="auto"/>
            </w:tcBorders>
            <w:shd w:val="clear" w:color="000000" w:fill="FFFFFF"/>
            <w:noWrap/>
            <w:vAlign w:val="center"/>
            <w:hideMark/>
          </w:tcPr>
          <w:p w14:paraId="20F1662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67E9165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740A496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7" w:type="pct"/>
            <w:tcBorders>
              <w:top w:val="nil"/>
              <w:left w:val="nil"/>
              <w:bottom w:val="single" w:sz="4" w:space="0" w:color="auto"/>
              <w:right w:val="single" w:sz="4" w:space="0" w:color="auto"/>
            </w:tcBorders>
            <w:shd w:val="clear" w:color="000000" w:fill="FFFFFF"/>
            <w:noWrap/>
            <w:vAlign w:val="center"/>
            <w:hideMark/>
          </w:tcPr>
          <w:p w14:paraId="49AF4A7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4" w:type="pct"/>
            <w:tcBorders>
              <w:top w:val="nil"/>
              <w:left w:val="nil"/>
              <w:bottom w:val="single" w:sz="4" w:space="0" w:color="auto"/>
              <w:right w:val="single" w:sz="4" w:space="0" w:color="auto"/>
            </w:tcBorders>
            <w:shd w:val="clear" w:color="000000" w:fill="FFFFFF"/>
            <w:noWrap/>
            <w:vAlign w:val="center"/>
            <w:hideMark/>
          </w:tcPr>
          <w:p w14:paraId="64C9754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4" w:type="pct"/>
            <w:tcBorders>
              <w:top w:val="nil"/>
              <w:left w:val="nil"/>
              <w:bottom w:val="single" w:sz="4" w:space="0" w:color="auto"/>
              <w:right w:val="single" w:sz="4" w:space="0" w:color="auto"/>
            </w:tcBorders>
            <w:shd w:val="clear" w:color="000000" w:fill="FFFFFF"/>
            <w:noWrap/>
            <w:vAlign w:val="center"/>
            <w:hideMark/>
          </w:tcPr>
          <w:p w14:paraId="1FA5E74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31" w:type="pct"/>
            <w:tcBorders>
              <w:top w:val="nil"/>
              <w:left w:val="nil"/>
              <w:bottom w:val="single" w:sz="4" w:space="0" w:color="auto"/>
              <w:right w:val="single" w:sz="4" w:space="0" w:color="auto"/>
            </w:tcBorders>
            <w:shd w:val="clear" w:color="000000" w:fill="FFFFFF"/>
            <w:noWrap/>
            <w:vAlign w:val="center"/>
            <w:hideMark/>
          </w:tcPr>
          <w:p w14:paraId="3AA6ACF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5" w:type="pct"/>
            <w:tcBorders>
              <w:top w:val="nil"/>
              <w:left w:val="nil"/>
              <w:bottom w:val="single" w:sz="4" w:space="0" w:color="auto"/>
              <w:right w:val="single" w:sz="4" w:space="0" w:color="auto"/>
            </w:tcBorders>
            <w:shd w:val="clear" w:color="000000" w:fill="FFFFFF"/>
            <w:noWrap/>
            <w:vAlign w:val="center"/>
            <w:hideMark/>
          </w:tcPr>
          <w:p w14:paraId="27466A9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53738A5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3" w:type="pct"/>
            <w:tcBorders>
              <w:top w:val="nil"/>
              <w:left w:val="nil"/>
              <w:bottom w:val="single" w:sz="4" w:space="0" w:color="auto"/>
              <w:right w:val="single" w:sz="4" w:space="0" w:color="auto"/>
            </w:tcBorders>
            <w:shd w:val="clear" w:color="000000" w:fill="FFFFFF"/>
            <w:noWrap/>
            <w:vAlign w:val="center"/>
            <w:hideMark/>
          </w:tcPr>
          <w:p w14:paraId="128F8FB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21" w:type="pct"/>
            <w:tcBorders>
              <w:top w:val="nil"/>
              <w:left w:val="nil"/>
              <w:bottom w:val="single" w:sz="4" w:space="0" w:color="auto"/>
              <w:right w:val="single" w:sz="4" w:space="0" w:color="auto"/>
            </w:tcBorders>
            <w:shd w:val="clear" w:color="000000" w:fill="FFFFFF"/>
          </w:tcPr>
          <w:p w14:paraId="2888297B"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17</w:t>
            </w:r>
          </w:p>
        </w:tc>
      </w:tr>
      <w:tr w:rsidR="00EE4BF0" w:rsidRPr="00E85D55" w14:paraId="4289301B" w14:textId="77777777" w:rsidTr="007D1DAE">
        <w:trPr>
          <w:trHeight w:val="1081"/>
        </w:trPr>
        <w:tc>
          <w:tcPr>
            <w:tcW w:w="104" w:type="pct"/>
            <w:tcBorders>
              <w:top w:val="nil"/>
              <w:left w:val="single" w:sz="4" w:space="0" w:color="auto"/>
              <w:bottom w:val="single" w:sz="4" w:space="0" w:color="auto"/>
              <w:right w:val="single" w:sz="4" w:space="0" w:color="auto"/>
            </w:tcBorders>
            <w:shd w:val="clear" w:color="000000" w:fill="FFFFFF"/>
            <w:noWrap/>
            <w:vAlign w:val="center"/>
            <w:hideMark/>
          </w:tcPr>
          <w:p w14:paraId="092D6CE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lastRenderedPageBreak/>
              <w:t>3</w:t>
            </w:r>
          </w:p>
        </w:tc>
        <w:tc>
          <w:tcPr>
            <w:tcW w:w="880" w:type="pct"/>
            <w:tcBorders>
              <w:top w:val="nil"/>
              <w:left w:val="nil"/>
              <w:bottom w:val="single" w:sz="4" w:space="0" w:color="auto"/>
              <w:right w:val="single" w:sz="4" w:space="0" w:color="auto"/>
            </w:tcBorders>
            <w:shd w:val="clear" w:color="000000" w:fill="FFFFFF"/>
            <w:vAlign w:val="center"/>
            <w:hideMark/>
          </w:tcPr>
          <w:p w14:paraId="2EB8CA9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Are the conclusions supported by the data and analysis presented?</w:t>
            </w:r>
          </w:p>
        </w:tc>
        <w:tc>
          <w:tcPr>
            <w:tcW w:w="180" w:type="pct"/>
            <w:tcBorders>
              <w:top w:val="nil"/>
              <w:left w:val="nil"/>
              <w:bottom w:val="single" w:sz="4" w:space="0" w:color="auto"/>
              <w:right w:val="single" w:sz="4" w:space="0" w:color="auto"/>
            </w:tcBorders>
            <w:shd w:val="clear" w:color="000000" w:fill="FFFFFF"/>
            <w:noWrap/>
            <w:vAlign w:val="center"/>
            <w:hideMark/>
          </w:tcPr>
          <w:p w14:paraId="023FE9E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hideMark/>
          </w:tcPr>
          <w:p w14:paraId="68FE0D5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2" w:type="pct"/>
            <w:tcBorders>
              <w:top w:val="nil"/>
              <w:left w:val="nil"/>
              <w:bottom w:val="single" w:sz="4" w:space="0" w:color="auto"/>
              <w:right w:val="single" w:sz="4" w:space="0" w:color="auto"/>
            </w:tcBorders>
            <w:shd w:val="clear" w:color="000000" w:fill="FFFFFF"/>
            <w:noWrap/>
            <w:vAlign w:val="center"/>
            <w:hideMark/>
          </w:tcPr>
          <w:p w14:paraId="755310E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6" w:type="pct"/>
            <w:tcBorders>
              <w:top w:val="nil"/>
              <w:left w:val="nil"/>
              <w:bottom w:val="single" w:sz="4" w:space="0" w:color="auto"/>
              <w:right w:val="single" w:sz="4" w:space="0" w:color="auto"/>
            </w:tcBorders>
            <w:shd w:val="clear" w:color="000000" w:fill="FFFFFF"/>
            <w:noWrap/>
            <w:vAlign w:val="center"/>
            <w:hideMark/>
          </w:tcPr>
          <w:p w14:paraId="0EBBA11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3" w:type="pct"/>
            <w:tcBorders>
              <w:top w:val="nil"/>
              <w:left w:val="nil"/>
              <w:bottom w:val="single" w:sz="4" w:space="0" w:color="auto"/>
              <w:right w:val="single" w:sz="4" w:space="0" w:color="auto"/>
            </w:tcBorders>
            <w:shd w:val="clear" w:color="000000" w:fill="FFFFFF"/>
            <w:noWrap/>
            <w:vAlign w:val="center"/>
            <w:hideMark/>
          </w:tcPr>
          <w:p w14:paraId="4F20CED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0" w:type="pct"/>
            <w:tcBorders>
              <w:top w:val="nil"/>
              <w:left w:val="nil"/>
              <w:bottom w:val="single" w:sz="4" w:space="0" w:color="auto"/>
              <w:right w:val="single" w:sz="4" w:space="0" w:color="auto"/>
            </w:tcBorders>
            <w:shd w:val="clear" w:color="000000" w:fill="FFFFFF"/>
            <w:noWrap/>
            <w:vAlign w:val="center"/>
            <w:hideMark/>
          </w:tcPr>
          <w:p w14:paraId="38AC113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3" w:type="pct"/>
            <w:tcBorders>
              <w:top w:val="nil"/>
              <w:left w:val="nil"/>
              <w:bottom w:val="single" w:sz="4" w:space="0" w:color="auto"/>
              <w:right w:val="single" w:sz="4" w:space="0" w:color="auto"/>
            </w:tcBorders>
            <w:shd w:val="clear" w:color="000000" w:fill="FFFFFF"/>
            <w:noWrap/>
            <w:vAlign w:val="center"/>
            <w:hideMark/>
          </w:tcPr>
          <w:p w14:paraId="3C1DD95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3" w:type="pct"/>
            <w:tcBorders>
              <w:top w:val="nil"/>
              <w:left w:val="nil"/>
              <w:bottom w:val="single" w:sz="4" w:space="0" w:color="auto"/>
              <w:right w:val="single" w:sz="4" w:space="0" w:color="auto"/>
            </w:tcBorders>
            <w:shd w:val="clear" w:color="000000" w:fill="FFFFFF"/>
            <w:noWrap/>
            <w:vAlign w:val="center"/>
            <w:hideMark/>
          </w:tcPr>
          <w:p w14:paraId="60273DA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4" w:type="pct"/>
            <w:tcBorders>
              <w:top w:val="nil"/>
              <w:left w:val="nil"/>
              <w:bottom w:val="single" w:sz="4" w:space="0" w:color="auto"/>
              <w:right w:val="single" w:sz="4" w:space="0" w:color="auto"/>
            </w:tcBorders>
            <w:shd w:val="clear" w:color="000000" w:fill="FFFFFF"/>
            <w:noWrap/>
            <w:vAlign w:val="center"/>
            <w:hideMark/>
          </w:tcPr>
          <w:p w14:paraId="5C74730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7A6E959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7" w:type="pct"/>
            <w:tcBorders>
              <w:top w:val="nil"/>
              <w:left w:val="nil"/>
              <w:bottom w:val="single" w:sz="4" w:space="0" w:color="auto"/>
              <w:right w:val="single" w:sz="4" w:space="0" w:color="auto"/>
            </w:tcBorders>
            <w:shd w:val="clear" w:color="000000" w:fill="FFFFFF"/>
            <w:noWrap/>
            <w:vAlign w:val="center"/>
            <w:hideMark/>
          </w:tcPr>
          <w:p w14:paraId="7F6D697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4" w:type="pct"/>
            <w:tcBorders>
              <w:top w:val="nil"/>
              <w:left w:val="nil"/>
              <w:bottom w:val="single" w:sz="4" w:space="0" w:color="auto"/>
              <w:right w:val="single" w:sz="4" w:space="0" w:color="auto"/>
            </w:tcBorders>
            <w:shd w:val="clear" w:color="000000" w:fill="FFFFFF"/>
            <w:noWrap/>
            <w:vAlign w:val="center"/>
            <w:hideMark/>
          </w:tcPr>
          <w:p w14:paraId="2374E41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4" w:type="pct"/>
            <w:tcBorders>
              <w:top w:val="nil"/>
              <w:left w:val="nil"/>
              <w:bottom w:val="single" w:sz="4" w:space="0" w:color="auto"/>
              <w:right w:val="single" w:sz="4" w:space="0" w:color="auto"/>
            </w:tcBorders>
            <w:shd w:val="clear" w:color="000000" w:fill="FFFFFF"/>
            <w:noWrap/>
            <w:vAlign w:val="center"/>
            <w:hideMark/>
          </w:tcPr>
          <w:p w14:paraId="565DF2D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31" w:type="pct"/>
            <w:tcBorders>
              <w:top w:val="nil"/>
              <w:left w:val="nil"/>
              <w:bottom w:val="single" w:sz="4" w:space="0" w:color="auto"/>
              <w:right w:val="single" w:sz="4" w:space="0" w:color="auto"/>
            </w:tcBorders>
            <w:shd w:val="clear" w:color="000000" w:fill="FFFFFF"/>
            <w:noWrap/>
            <w:vAlign w:val="center"/>
            <w:hideMark/>
          </w:tcPr>
          <w:p w14:paraId="6D39B7F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95" w:type="pct"/>
            <w:tcBorders>
              <w:top w:val="nil"/>
              <w:left w:val="nil"/>
              <w:bottom w:val="single" w:sz="4" w:space="0" w:color="auto"/>
              <w:right w:val="single" w:sz="4" w:space="0" w:color="auto"/>
            </w:tcBorders>
            <w:shd w:val="clear" w:color="000000" w:fill="FFFFFF"/>
            <w:noWrap/>
            <w:vAlign w:val="center"/>
            <w:hideMark/>
          </w:tcPr>
          <w:p w14:paraId="5A5419E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6771DD1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63" w:type="pct"/>
            <w:tcBorders>
              <w:top w:val="nil"/>
              <w:left w:val="nil"/>
              <w:bottom w:val="single" w:sz="4" w:space="0" w:color="auto"/>
              <w:right w:val="single" w:sz="4" w:space="0" w:color="auto"/>
            </w:tcBorders>
            <w:shd w:val="clear" w:color="000000" w:fill="FFFFFF"/>
            <w:noWrap/>
            <w:vAlign w:val="center"/>
            <w:hideMark/>
          </w:tcPr>
          <w:p w14:paraId="163CEF4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321" w:type="pct"/>
            <w:tcBorders>
              <w:top w:val="nil"/>
              <w:left w:val="nil"/>
              <w:bottom w:val="single" w:sz="4" w:space="0" w:color="auto"/>
              <w:right w:val="single" w:sz="4" w:space="0" w:color="auto"/>
            </w:tcBorders>
            <w:shd w:val="clear" w:color="000000" w:fill="FFFFFF"/>
          </w:tcPr>
          <w:p w14:paraId="3AB4BB7B"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17</w:t>
            </w:r>
          </w:p>
        </w:tc>
      </w:tr>
      <w:tr w:rsidR="00EE4BF0" w:rsidRPr="00E85D55" w14:paraId="08B36AFA" w14:textId="77777777" w:rsidTr="007D1DAE">
        <w:trPr>
          <w:trHeight w:val="811"/>
        </w:trPr>
        <w:tc>
          <w:tcPr>
            <w:tcW w:w="104" w:type="pct"/>
            <w:tcBorders>
              <w:top w:val="nil"/>
              <w:left w:val="single" w:sz="4" w:space="0" w:color="auto"/>
              <w:bottom w:val="single" w:sz="4" w:space="0" w:color="auto"/>
              <w:right w:val="single" w:sz="4" w:space="0" w:color="auto"/>
            </w:tcBorders>
            <w:shd w:val="clear" w:color="000000" w:fill="FFFFFF"/>
            <w:noWrap/>
            <w:vAlign w:val="center"/>
            <w:hideMark/>
          </w:tcPr>
          <w:p w14:paraId="24074E2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4</w:t>
            </w:r>
          </w:p>
        </w:tc>
        <w:tc>
          <w:tcPr>
            <w:tcW w:w="880" w:type="pct"/>
            <w:tcBorders>
              <w:top w:val="nil"/>
              <w:left w:val="nil"/>
              <w:bottom w:val="single" w:sz="4" w:space="0" w:color="auto"/>
              <w:right w:val="single" w:sz="4" w:space="0" w:color="auto"/>
            </w:tcBorders>
            <w:shd w:val="clear" w:color="000000" w:fill="FFFFFF"/>
            <w:vAlign w:val="center"/>
            <w:hideMark/>
          </w:tcPr>
          <w:p w14:paraId="474E1FE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US" w:eastAsia="fr-FR"/>
              </w:rPr>
            </w:pPr>
            <w:r w:rsidRPr="00E85D55">
              <w:rPr>
                <w:rFonts w:ascii="Times New Roman" w:hAnsi="Times New Roman"/>
                <w:color w:val="000000"/>
                <w:sz w:val="20"/>
                <w:szCs w:val="20"/>
                <w:lang w:val="en-US"/>
              </w:rPr>
              <w:t>Was the effect of unmeasured confounding discussed?</w:t>
            </w:r>
          </w:p>
        </w:tc>
        <w:tc>
          <w:tcPr>
            <w:tcW w:w="180" w:type="pct"/>
            <w:tcBorders>
              <w:top w:val="nil"/>
              <w:left w:val="nil"/>
              <w:bottom w:val="single" w:sz="4" w:space="0" w:color="auto"/>
              <w:right w:val="single" w:sz="4" w:space="0" w:color="auto"/>
            </w:tcBorders>
            <w:shd w:val="clear" w:color="000000" w:fill="FFFFFF"/>
            <w:noWrap/>
            <w:vAlign w:val="center"/>
            <w:hideMark/>
          </w:tcPr>
          <w:p w14:paraId="1B2AFD2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2" w:type="pct"/>
            <w:tcBorders>
              <w:top w:val="nil"/>
              <w:left w:val="nil"/>
              <w:bottom w:val="single" w:sz="4" w:space="0" w:color="auto"/>
              <w:right w:val="single" w:sz="4" w:space="0" w:color="auto"/>
            </w:tcBorders>
            <w:shd w:val="clear" w:color="000000" w:fill="FFFFFF"/>
            <w:noWrap/>
            <w:vAlign w:val="center"/>
            <w:hideMark/>
          </w:tcPr>
          <w:p w14:paraId="5B3E439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2" w:type="pct"/>
            <w:tcBorders>
              <w:top w:val="nil"/>
              <w:left w:val="nil"/>
              <w:bottom w:val="single" w:sz="4" w:space="0" w:color="auto"/>
              <w:right w:val="single" w:sz="4" w:space="0" w:color="auto"/>
            </w:tcBorders>
            <w:shd w:val="clear" w:color="000000" w:fill="FFFFFF"/>
            <w:noWrap/>
            <w:vAlign w:val="center"/>
            <w:hideMark/>
          </w:tcPr>
          <w:p w14:paraId="7EB2E45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6" w:type="pct"/>
            <w:tcBorders>
              <w:top w:val="nil"/>
              <w:left w:val="nil"/>
              <w:bottom w:val="single" w:sz="4" w:space="0" w:color="auto"/>
              <w:right w:val="single" w:sz="4" w:space="0" w:color="auto"/>
            </w:tcBorders>
            <w:shd w:val="clear" w:color="000000" w:fill="FFFFFF"/>
            <w:noWrap/>
            <w:vAlign w:val="center"/>
            <w:hideMark/>
          </w:tcPr>
          <w:p w14:paraId="2FEE050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3" w:type="pct"/>
            <w:tcBorders>
              <w:top w:val="nil"/>
              <w:left w:val="nil"/>
              <w:bottom w:val="single" w:sz="4" w:space="0" w:color="auto"/>
              <w:right w:val="single" w:sz="4" w:space="0" w:color="auto"/>
            </w:tcBorders>
            <w:shd w:val="clear" w:color="000000" w:fill="FFFFFF"/>
            <w:noWrap/>
            <w:vAlign w:val="center"/>
            <w:hideMark/>
          </w:tcPr>
          <w:p w14:paraId="5944362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0" w:type="pct"/>
            <w:tcBorders>
              <w:top w:val="nil"/>
              <w:left w:val="nil"/>
              <w:bottom w:val="single" w:sz="4" w:space="0" w:color="auto"/>
              <w:right w:val="single" w:sz="4" w:space="0" w:color="auto"/>
            </w:tcBorders>
            <w:shd w:val="clear" w:color="000000" w:fill="FFFFFF"/>
            <w:noWrap/>
            <w:vAlign w:val="center"/>
            <w:hideMark/>
          </w:tcPr>
          <w:p w14:paraId="28DEA17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3" w:type="pct"/>
            <w:tcBorders>
              <w:top w:val="nil"/>
              <w:left w:val="nil"/>
              <w:bottom w:val="single" w:sz="4" w:space="0" w:color="auto"/>
              <w:right w:val="single" w:sz="4" w:space="0" w:color="auto"/>
            </w:tcBorders>
            <w:shd w:val="clear" w:color="000000" w:fill="FFFFFF"/>
            <w:noWrap/>
            <w:vAlign w:val="center"/>
            <w:hideMark/>
          </w:tcPr>
          <w:p w14:paraId="7FE4C1D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173" w:type="pct"/>
            <w:tcBorders>
              <w:top w:val="nil"/>
              <w:left w:val="nil"/>
              <w:bottom w:val="single" w:sz="4" w:space="0" w:color="auto"/>
              <w:right w:val="single" w:sz="4" w:space="0" w:color="auto"/>
            </w:tcBorders>
            <w:shd w:val="clear" w:color="000000" w:fill="FFFFFF"/>
            <w:noWrap/>
            <w:vAlign w:val="center"/>
            <w:hideMark/>
          </w:tcPr>
          <w:p w14:paraId="05EC779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4" w:type="pct"/>
            <w:tcBorders>
              <w:top w:val="nil"/>
              <w:left w:val="nil"/>
              <w:bottom w:val="single" w:sz="4" w:space="0" w:color="auto"/>
              <w:right w:val="single" w:sz="4" w:space="0" w:color="auto"/>
            </w:tcBorders>
            <w:shd w:val="clear" w:color="000000" w:fill="FFFFFF"/>
            <w:noWrap/>
            <w:vAlign w:val="center"/>
            <w:hideMark/>
          </w:tcPr>
          <w:p w14:paraId="5BB4E80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1</w:t>
            </w:r>
          </w:p>
        </w:tc>
        <w:tc>
          <w:tcPr>
            <w:tcW w:w="229" w:type="pct"/>
            <w:tcBorders>
              <w:top w:val="nil"/>
              <w:left w:val="nil"/>
              <w:bottom w:val="single" w:sz="4" w:space="0" w:color="auto"/>
              <w:right w:val="single" w:sz="4" w:space="0" w:color="auto"/>
            </w:tcBorders>
            <w:shd w:val="clear" w:color="000000" w:fill="FFFFFF"/>
            <w:noWrap/>
            <w:vAlign w:val="center"/>
            <w:hideMark/>
          </w:tcPr>
          <w:p w14:paraId="4636E86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27" w:type="pct"/>
            <w:tcBorders>
              <w:top w:val="nil"/>
              <w:left w:val="nil"/>
              <w:bottom w:val="single" w:sz="4" w:space="0" w:color="auto"/>
              <w:right w:val="single" w:sz="4" w:space="0" w:color="auto"/>
            </w:tcBorders>
            <w:shd w:val="clear" w:color="000000" w:fill="FFFFFF"/>
            <w:noWrap/>
            <w:vAlign w:val="center"/>
            <w:hideMark/>
          </w:tcPr>
          <w:p w14:paraId="437F962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64" w:type="pct"/>
            <w:tcBorders>
              <w:top w:val="nil"/>
              <w:left w:val="nil"/>
              <w:bottom w:val="single" w:sz="4" w:space="0" w:color="auto"/>
              <w:right w:val="single" w:sz="4" w:space="0" w:color="auto"/>
            </w:tcBorders>
            <w:shd w:val="clear" w:color="000000" w:fill="FFFFFF"/>
            <w:noWrap/>
            <w:vAlign w:val="center"/>
            <w:hideMark/>
          </w:tcPr>
          <w:p w14:paraId="10B0605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64" w:type="pct"/>
            <w:tcBorders>
              <w:top w:val="nil"/>
              <w:left w:val="nil"/>
              <w:bottom w:val="single" w:sz="4" w:space="0" w:color="auto"/>
              <w:right w:val="single" w:sz="4" w:space="0" w:color="auto"/>
            </w:tcBorders>
            <w:shd w:val="clear" w:color="000000" w:fill="FFFFFF"/>
            <w:noWrap/>
            <w:vAlign w:val="center"/>
            <w:hideMark/>
          </w:tcPr>
          <w:p w14:paraId="596C9AF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331" w:type="pct"/>
            <w:tcBorders>
              <w:top w:val="nil"/>
              <w:left w:val="nil"/>
              <w:bottom w:val="single" w:sz="4" w:space="0" w:color="auto"/>
              <w:right w:val="single" w:sz="4" w:space="0" w:color="auto"/>
            </w:tcBorders>
            <w:shd w:val="clear" w:color="000000" w:fill="FFFFFF"/>
            <w:noWrap/>
            <w:vAlign w:val="center"/>
            <w:hideMark/>
          </w:tcPr>
          <w:p w14:paraId="368283E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195" w:type="pct"/>
            <w:tcBorders>
              <w:top w:val="nil"/>
              <w:left w:val="nil"/>
              <w:bottom w:val="single" w:sz="4" w:space="0" w:color="auto"/>
              <w:right w:val="single" w:sz="4" w:space="0" w:color="auto"/>
            </w:tcBorders>
            <w:shd w:val="clear" w:color="000000" w:fill="FFFFFF"/>
            <w:noWrap/>
            <w:vAlign w:val="center"/>
            <w:hideMark/>
          </w:tcPr>
          <w:p w14:paraId="480BCE6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29" w:type="pct"/>
            <w:tcBorders>
              <w:top w:val="nil"/>
              <w:left w:val="nil"/>
              <w:bottom w:val="single" w:sz="4" w:space="0" w:color="auto"/>
              <w:right w:val="single" w:sz="4" w:space="0" w:color="auto"/>
            </w:tcBorders>
            <w:shd w:val="clear" w:color="000000" w:fill="FFFFFF"/>
            <w:noWrap/>
            <w:vAlign w:val="center"/>
            <w:hideMark/>
          </w:tcPr>
          <w:p w14:paraId="07FAEF5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263" w:type="pct"/>
            <w:tcBorders>
              <w:top w:val="nil"/>
              <w:left w:val="nil"/>
              <w:bottom w:val="single" w:sz="4" w:space="0" w:color="auto"/>
              <w:right w:val="single" w:sz="4" w:space="0" w:color="auto"/>
            </w:tcBorders>
            <w:shd w:val="clear" w:color="000000" w:fill="FFFFFF"/>
            <w:noWrap/>
            <w:vAlign w:val="center"/>
            <w:hideMark/>
          </w:tcPr>
          <w:p w14:paraId="40BC718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hAnsi="Times New Roman"/>
                <w:color w:val="000000"/>
                <w:sz w:val="20"/>
                <w:szCs w:val="20"/>
              </w:rPr>
              <w:t>0</w:t>
            </w:r>
          </w:p>
        </w:tc>
        <w:tc>
          <w:tcPr>
            <w:tcW w:w="321" w:type="pct"/>
            <w:tcBorders>
              <w:top w:val="nil"/>
              <w:left w:val="nil"/>
              <w:bottom w:val="single" w:sz="4" w:space="0" w:color="auto"/>
              <w:right w:val="single" w:sz="4" w:space="0" w:color="auto"/>
            </w:tcBorders>
            <w:shd w:val="clear" w:color="000000" w:fill="FFFFFF"/>
          </w:tcPr>
          <w:p w14:paraId="185B7C12" w14:textId="77777777" w:rsidR="00EE4BF0" w:rsidRPr="00E85D55" w:rsidRDefault="00EE4BF0" w:rsidP="007D1DAE">
            <w:pPr>
              <w:spacing w:after="0" w:line="480" w:lineRule="auto"/>
              <w:jc w:val="center"/>
              <w:rPr>
                <w:rFonts w:ascii="Times New Roman" w:hAnsi="Times New Roman"/>
                <w:color w:val="000000"/>
                <w:sz w:val="20"/>
                <w:szCs w:val="20"/>
              </w:rPr>
            </w:pPr>
            <w:r w:rsidRPr="00E85D55">
              <w:rPr>
                <w:rFonts w:ascii="Times New Roman" w:hAnsi="Times New Roman"/>
                <w:color w:val="000000"/>
                <w:sz w:val="20"/>
                <w:szCs w:val="20"/>
              </w:rPr>
              <w:t>5</w:t>
            </w:r>
          </w:p>
        </w:tc>
      </w:tr>
      <w:tr w:rsidR="00EE4BF0" w:rsidRPr="00E85D55" w14:paraId="212CFE1C" w14:textId="77777777" w:rsidTr="007D1DAE">
        <w:trPr>
          <w:trHeight w:val="880"/>
        </w:trPr>
        <w:tc>
          <w:tcPr>
            <w:tcW w:w="4679" w:type="pct"/>
            <w:gridSpan w:val="19"/>
            <w:tcBorders>
              <w:top w:val="single" w:sz="4" w:space="0" w:color="auto"/>
            </w:tcBorders>
            <w:shd w:val="clear" w:color="000000" w:fill="FFFFFF"/>
            <w:noWrap/>
          </w:tcPr>
          <w:p w14:paraId="661BA148" w14:textId="77777777" w:rsidR="00EE4BF0" w:rsidRDefault="00EE4BF0" w:rsidP="007D1DAE">
            <w:pPr>
              <w:spacing w:after="0" w:line="480" w:lineRule="auto"/>
              <w:rPr>
                <w:rFonts w:ascii="Times New Roman" w:eastAsia="Times New Roman" w:hAnsi="Times New Roman"/>
                <w:color w:val="000000"/>
                <w:sz w:val="20"/>
                <w:szCs w:val="20"/>
                <w:lang w:val="en-US" w:eastAsia="fr-FR"/>
              </w:rPr>
            </w:pPr>
            <w:r w:rsidRPr="00E85D55">
              <w:rPr>
                <w:rFonts w:ascii="Times New Roman" w:eastAsia="Times New Roman" w:hAnsi="Times New Roman"/>
                <w:color w:val="000000"/>
                <w:sz w:val="20"/>
                <w:szCs w:val="20"/>
                <w:lang w:val="en-US" w:eastAsia="fr-FR"/>
              </w:rPr>
              <w:t>Notes: questions from the grid assessing the credibility of observational studies (Berger et al. (2014)).</w:t>
            </w:r>
          </w:p>
          <w:p w14:paraId="4D07244B"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r>
              <w:rPr>
                <w:rFonts w:ascii="Times New Roman" w:eastAsia="Times New Roman" w:hAnsi="Times New Roman"/>
                <w:color w:val="000000"/>
                <w:sz w:val="20"/>
                <w:szCs w:val="20"/>
                <w:lang w:val="en-US" w:eastAsia="fr-FR"/>
              </w:rPr>
              <w:t xml:space="preserve">0 = quality item not fulfilled in the paper. 1 = quality item fulfilled in the paper. </w:t>
            </w:r>
            <w:r w:rsidRPr="00E85D55">
              <w:rPr>
                <w:rFonts w:ascii="Times New Roman" w:eastAsia="Times New Roman" w:hAnsi="Times New Roman"/>
                <w:color w:val="000000"/>
                <w:sz w:val="20"/>
                <w:szCs w:val="20"/>
                <w:lang w:val="en-US" w:eastAsia="fr-FR"/>
              </w:rPr>
              <w:t xml:space="preserve">“NA” stands for “not available”. </w:t>
            </w:r>
          </w:p>
          <w:p w14:paraId="2608229F"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p w14:paraId="2124EB48"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p w14:paraId="2062E181"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p w14:paraId="0C71DC1F"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p w14:paraId="071644F7"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p w14:paraId="7C6077F1"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p w14:paraId="1BE64BF1"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tc>
        <w:tc>
          <w:tcPr>
            <w:tcW w:w="321" w:type="pct"/>
            <w:tcBorders>
              <w:top w:val="single" w:sz="4" w:space="0" w:color="auto"/>
            </w:tcBorders>
            <w:shd w:val="clear" w:color="000000" w:fill="FFFFFF"/>
          </w:tcPr>
          <w:p w14:paraId="6CFC2BE6" w14:textId="77777777" w:rsidR="00EE4BF0" w:rsidRPr="00E85D55" w:rsidRDefault="00EE4BF0" w:rsidP="007D1DAE">
            <w:pPr>
              <w:spacing w:after="0" w:line="480" w:lineRule="auto"/>
              <w:rPr>
                <w:rFonts w:ascii="Times New Roman" w:eastAsia="Times New Roman" w:hAnsi="Times New Roman"/>
                <w:color w:val="000000"/>
                <w:sz w:val="20"/>
                <w:szCs w:val="20"/>
                <w:lang w:val="en-US" w:eastAsia="fr-FR"/>
              </w:rPr>
            </w:pPr>
          </w:p>
        </w:tc>
      </w:tr>
    </w:tbl>
    <w:p w14:paraId="561D2CD8" w14:textId="77777777" w:rsidR="00EE4BF0" w:rsidRPr="00E85D55" w:rsidRDefault="00EE4BF0" w:rsidP="00EE4BF0">
      <w:pPr>
        <w:spacing w:after="0" w:line="480" w:lineRule="auto"/>
        <w:jc w:val="both"/>
        <w:rPr>
          <w:rFonts w:ascii="Times New Roman" w:hAnsi="Times New Roman"/>
          <w:i/>
          <w:sz w:val="20"/>
          <w:szCs w:val="20"/>
          <w:lang w:val="en-US"/>
        </w:rPr>
      </w:pPr>
    </w:p>
    <w:p w14:paraId="384E4EE8" w14:textId="77777777" w:rsidR="00EE4BF0" w:rsidRPr="00E85D55" w:rsidRDefault="00EE4BF0" w:rsidP="00EE4BF0">
      <w:pPr>
        <w:spacing w:after="0" w:line="480" w:lineRule="auto"/>
        <w:jc w:val="both"/>
        <w:rPr>
          <w:rFonts w:ascii="Times New Roman" w:hAnsi="Times New Roman"/>
          <w:i/>
          <w:sz w:val="20"/>
          <w:szCs w:val="20"/>
          <w:lang w:val="en-US"/>
        </w:rPr>
        <w:sectPr w:rsidR="00EE4BF0" w:rsidRPr="00E85D55" w:rsidSect="00E027B9">
          <w:pgSz w:w="16838" w:h="11906" w:orient="landscape"/>
          <w:pgMar w:top="1134" w:right="1417" w:bottom="1133" w:left="1417" w:header="708" w:footer="708" w:gutter="0"/>
          <w:cols w:space="708"/>
          <w:docGrid w:linePitch="360"/>
        </w:sectPr>
      </w:pPr>
    </w:p>
    <w:p w14:paraId="2F35FE76" w14:textId="77777777" w:rsidR="00EE4BF0" w:rsidRPr="00E85D55" w:rsidRDefault="00EE4BF0" w:rsidP="00EE4BF0">
      <w:pPr>
        <w:spacing w:after="0" w:line="480" w:lineRule="auto"/>
        <w:jc w:val="both"/>
        <w:rPr>
          <w:rFonts w:ascii="Times New Roman" w:hAnsi="Times New Roman"/>
          <w:sz w:val="20"/>
          <w:szCs w:val="20"/>
          <w:lang w:val="en-GB"/>
        </w:rPr>
      </w:pPr>
      <w:r w:rsidRPr="00E85D55">
        <w:rPr>
          <w:rFonts w:ascii="Times New Roman" w:hAnsi="Times New Roman"/>
          <w:sz w:val="20"/>
          <w:szCs w:val="20"/>
          <w:lang w:val="en-GB"/>
        </w:rPr>
        <w:lastRenderedPageBreak/>
        <w:t xml:space="preserve">Figure </w:t>
      </w:r>
      <w:r>
        <w:rPr>
          <w:rFonts w:ascii="Times New Roman" w:hAnsi="Times New Roman"/>
          <w:sz w:val="20"/>
          <w:szCs w:val="20"/>
          <w:lang w:val="en-GB"/>
        </w:rPr>
        <w:t>A.3</w:t>
      </w:r>
      <w:r w:rsidRPr="00E85D55">
        <w:rPr>
          <w:rFonts w:ascii="Times New Roman" w:hAnsi="Times New Roman"/>
          <w:sz w:val="20"/>
          <w:szCs w:val="20"/>
          <w:lang w:val="en-GB"/>
        </w:rPr>
        <w:t>.1. Spider chart for quality assessment by LTC outcome</w:t>
      </w:r>
    </w:p>
    <w:p w14:paraId="456FC916" w14:textId="77777777" w:rsidR="00EE4BF0" w:rsidRPr="00E85D55" w:rsidRDefault="00EE4BF0" w:rsidP="00EE4BF0">
      <w:pPr>
        <w:spacing w:after="0" w:line="480" w:lineRule="auto"/>
        <w:jc w:val="both"/>
        <w:rPr>
          <w:rFonts w:ascii="Times New Roman" w:hAnsi="Times New Roman"/>
          <w:sz w:val="20"/>
          <w:szCs w:val="20"/>
          <w:lang w:val="en-GB"/>
        </w:rPr>
      </w:pPr>
      <w:r w:rsidRPr="00E85D55">
        <w:rPr>
          <w:rFonts w:ascii="Times New Roman" w:hAnsi="Times New Roman"/>
          <w:noProof/>
          <w:sz w:val="20"/>
          <w:szCs w:val="20"/>
          <w:lang w:eastAsia="fr-FR"/>
        </w:rPr>
        <w:lastRenderedPageBreak/>
        <mc:AlternateContent>
          <mc:Choice Requires="wpg">
            <w:drawing>
              <wp:inline distT="0" distB="0" distL="0" distR="0" wp14:anchorId="540F8EF3" wp14:editId="73EBEE1F">
                <wp:extent cx="6540284" cy="6366295"/>
                <wp:effectExtent l="0" t="0" r="13335" b="15875"/>
                <wp:docPr id="4" name="Grouper 2"/>
                <wp:cNvGraphicFramePr/>
                <a:graphic xmlns:a="http://schemas.openxmlformats.org/drawingml/2006/main">
                  <a:graphicData uri="http://schemas.microsoft.com/office/word/2010/wordprocessingGroup">
                    <wpg:wgp>
                      <wpg:cNvGrpSpPr/>
                      <wpg:grpSpPr>
                        <a:xfrm>
                          <a:off x="0" y="0"/>
                          <a:ext cx="6540284" cy="6366295"/>
                          <a:chOff x="17672" y="-1"/>
                          <a:chExt cx="6687831" cy="7990869"/>
                        </a:xfrm>
                      </wpg:grpSpPr>
                      <wpg:graphicFrame>
                        <wpg:cNvPr id="5" name="Graphique 5"/>
                        <wpg:cNvFrPr/>
                        <wpg:xfrm>
                          <a:off x="25398" y="-1"/>
                          <a:ext cx="3302000" cy="2643821"/>
                        </wpg:xfrm>
                        <a:graphic>
                          <a:graphicData uri="http://schemas.openxmlformats.org/drawingml/2006/chart">
                            <c:chart xmlns:c="http://schemas.openxmlformats.org/drawingml/2006/chart" xmlns:r="http://schemas.openxmlformats.org/officeDocument/2006/relationships" r:id="rId5"/>
                          </a:graphicData>
                        </a:graphic>
                      </wpg:graphicFrame>
                      <wpg:graphicFrame>
                        <wpg:cNvPr id="6" name="Graphique 6"/>
                        <wpg:cNvFrPr/>
                        <wpg:xfrm>
                          <a:off x="3416203" y="0"/>
                          <a:ext cx="3289300" cy="2643820"/>
                        </wpg:xfrm>
                        <a:graphic>
                          <a:graphicData uri="http://schemas.openxmlformats.org/drawingml/2006/chart">
                            <c:chart xmlns:c="http://schemas.openxmlformats.org/drawingml/2006/chart" xmlns:r="http://schemas.openxmlformats.org/officeDocument/2006/relationships" r:id="rId6"/>
                          </a:graphicData>
                        </a:graphic>
                      </wpg:graphicFrame>
                      <wpg:graphicFrame>
                        <wpg:cNvPr id="7" name="Graphique 7"/>
                        <wpg:cNvFrPr/>
                        <wpg:xfrm>
                          <a:off x="17672" y="2590683"/>
                          <a:ext cx="3302000" cy="2677927"/>
                        </wpg:xfrm>
                        <a:graphic>
                          <a:graphicData uri="http://schemas.openxmlformats.org/drawingml/2006/chart">
                            <c:chart xmlns:c="http://schemas.openxmlformats.org/drawingml/2006/chart" xmlns:r="http://schemas.openxmlformats.org/officeDocument/2006/relationships" r:id="rId7"/>
                          </a:graphicData>
                        </a:graphic>
                      </wpg:graphicFrame>
                      <wpg:graphicFrame>
                        <wpg:cNvPr id="8" name="Graphique 8"/>
                        <wpg:cNvFrPr/>
                        <wpg:xfrm>
                          <a:off x="3391974" y="2590683"/>
                          <a:ext cx="3302000" cy="2685999"/>
                        </wpg:xfrm>
                        <a:graphic>
                          <a:graphicData uri="http://schemas.openxmlformats.org/drawingml/2006/chart">
                            <c:chart xmlns:c="http://schemas.openxmlformats.org/drawingml/2006/chart" xmlns:r="http://schemas.openxmlformats.org/officeDocument/2006/relationships" r:id="rId8"/>
                          </a:graphicData>
                        </a:graphic>
                      </wpg:graphicFrame>
                      <wpg:graphicFrame>
                        <wpg:cNvPr id="9" name="Graphique 9"/>
                        <wpg:cNvFrPr/>
                        <wpg:xfrm>
                          <a:off x="1756860" y="5345791"/>
                          <a:ext cx="3314700" cy="2645077"/>
                        </wpg:xfrm>
                        <a:graphic>
                          <a:graphicData uri="http://schemas.openxmlformats.org/drawingml/2006/chart">
                            <c:chart xmlns:c="http://schemas.openxmlformats.org/drawingml/2006/chart" xmlns:r="http://schemas.openxmlformats.org/officeDocument/2006/relationships" r:id="rId9"/>
                          </a:graphicData>
                        </a:graphic>
                      </wpg:graphicFrame>
                    </wpg:wgp>
                  </a:graphicData>
                </a:graphic>
              </wp:inline>
            </w:drawing>
          </mc:Choice>
          <mc:Fallback>
            <w:pict>
              <v:group w14:anchorId="44CA17F7" id="Grouper 2" o:spid="_x0000_s1026" style="width:515pt;height:501.3pt;mso-position-horizontal-relative:char;mso-position-vertical-relative:line" coordorigin="176" coordsize="66878,79908" o:gfxdata="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5" o:spid="_x0000_s1027" type="#_x0000_t75" style="position:absolute;left:176;width:33246;height:26621;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">
                  <v:imagedata r:id="rId10" o:title=""/>
                  <o:lock v:ext="edit" aspectratio="f"/>
                </v:shape>
                <v:shape id="Graphique 6" o:spid="_x0000_s1028" type="#_x0000_t75" style="position:absolute;left:34071;width:33116;height:26621;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">
                  <v:imagedata r:id="rId11" o:title=""/>
                  <o:lock v:ext="edit" aspectratio="f"/>
                </v:shape>
                <v:shape id="Graphique 7" o:spid="_x0000_s1029" type="#_x0000_t75" style="position:absolute;left:176;top:25824;width:33116;height:27099;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">
                  <v:imagedata r:id="rId12" o:title=""/>
                  <o:lock v:ext="edit" aspectratio="f"/>
                </v:shape>
                <v:shape id="Graphique 8" o:spid="_x0000_s1030" type="#_x0000_t75" style="position:absolute;left:33811;top:25824;width:33246;height:27099;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">
                  <v:imagedata r:id="rId13" o:title=""/>
                  <o:lock v:ext="edit" aspectratio="f"/>
                </v:shape>
                <v:shape id="Graphique 9" o:spid="_x0000_s1031" type="#_x0000_t75" style="position:absolute;left:17448;top:53401;width:33376;height:26621;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">
                  <v:imagedata r:id="rId14" o:title=""/>
                  <o:lock v:ext="edit" aspectratio="f"/>
                </v:shape>
                <w10:anchorlock/>
              </v:group>
            </w:pict>
          </mc:Fallback>
        </mc:AlternateContent>
      </w:r>
    </w:p>
    <w:p w14:paraId="6C82311F" w14:textId="77777777" w:rsidR="00EE4BF0" w:rsidRPr="00E85D55" w:rsidRDefault="00EE4BF0" w:rsidP="00EE4BF0">
      <w:pPr>
        <w:spacing w:after="0" w:line="480" w:lineRule="auto"/>
        <w:jc w:val="both"/>
        <w:rPr>
          <w:rFonts w:ascii="Times New Roman" w:hAnsi="Times New Roman"/>
          <w:sz w:val="20"/>
          <w:szCs w:val="20"/>
          <w:lang w:val="en-GB"/>
        </w:rPr>
      </w:pPr>
    </w:p>
    <w:p w14:paraId="59A37430" w14:textId="77777777" w:rsidR="00EE4BF0" w:rsidRPr="00E85D55" w:rsidRDefault="00EE4BF0" w:rsidP="00EE4BF0">
      <w:pPr>
        <w:spacing w:after="0" w:line="480" w:lineRule="auto"/>
        <w:jc w:val="both"/>
        <w:rPr>
          <w:rFonts w:ascii="Times New Roman" w:hAnsi="Times New Roman"/>
          <w:sz w:val="20"/>
          <w:szCs w:val="20"/>
          <w:lang w:val="en-GB"/>
        </w:rPr>
      </w:pPr>
      <w:r w:rsidRPr="00E85D55">
        <w:rPr>
          <w:rFonts w:ascii="Times New Roman" w:hAnsi="Times New Roman"/>
          <w:sz w:val="20"/>
          <w:szCs w:val="20"/>
          <w:lang w:val="en-GB"/>
        </w:rPr>
        <w:t>Reading grid: The coloured area show for each type of LTC outcome, the average score (% of criteria fulfilled) on each quality dimension. For instance, Informal care studies have an average score (fulfilment criteria ratio) of 20% for the Analyses domain, and 100% for the Data domain.</w:t>
      </w:r>
    </w:p>
    <w:p w14:paraId="6EAD2E13" w14:textId="77777777" w:rsidR="00EE4BF0" w:rsidRPr="00E85D55" w:rsidRDefault="00EE4BF0" w:rsidP="00EE4BF0">
      <w:pPr>
        <w:spacing w:after="0" w:line="480" w:lineRule="auto"/>
        <w:jc w:val="both"/>
        <w:rPr>
          <w:rFonts w:ascii="Times New Roman" w:hAnsi="Times New Roman"/>
          <w:sz w:val="20"/>
          <w:szCs w:val="20"/>
          <w:lang w:val="en-GB"/>
        </w:rPr>
      </w:pPr>
    </w:p>
    <w:p w14:paraId="04CD8A8A" w14:textId="77777777" w:rsidR="00EE4BF0" w:rsidRPr="00E85D55" w:rsidRDefault="00EE4BF0" w:rsidP="00EE4BF0">
      <w:pPr>
        <w:spacing w:after="0" w:line="480" w:lineRule="auto"/>
        <w:jc w:val="both"/>
        <w:rPr>
          <w:rFonts w:ascii="Times New Roman" w:hAnsi="Times New Roman"/>
          <w:sz w:val="20"/>
          <w:szCs w:val="20"/>
          <w:lang w:val="en-GB"/>
        </w:rPr>
      </w:pPr>
    </w:p>
    <w:p w14:paraId="5C487885" w14:textId="77777777" w:rsidR="00EE4BF0" w:rsidRPr="00E85D55" w:rsidRDefault="00EE4BF0" w:rsidP="00EE4BF0">
      <w:pPr>
        <w:spacing w:after="0" w:line="480" w:lineRule="auto"/>
        <w:jc w:val="both"/>
        <w:rPr>
          <w:rFonts w:ascii="Times New Roman" w:hAnsi="Times New Roman"/>
          <w:i/>
          <w:sz w:val="20"/>
          <w:szCs w:val="20"/>
          <w:lang w:val="en-US"/>
        </w:rPr>
      </w:pPr>
    </w:p>
    <w:p w14:paraId="63445C7B" w14:textId="77777777" w:rsidR="00EE4BF0" w:rsidRDefault="00EE4BF0" w:rsidP="00EE4BF0">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509CD68A" w14:textId="77777777" w:rsidR="00EE4BF0" w:rsidRPr="005A7B7F" w:rsidRDefault="00EE4BF0" w:rsidP="00EE4BF0">
      <w:pPr>
        <w:spacing w:after="0" w:line="360" w:lineRule="auto"/>
        <w:jc w:val="both"/>
        <w:rPr>
          <w:rFonts w:ascii="Times New Roman" w:hAnsi="Times New Roman"/>
          <w:sz w:val="24"/>
          <w:szCs w:val="24"/>
          <w:lang w:val="en-GB"/>
        </w:rPr>
      </w:pPr>
    </w:p>
    <w:p w14:paraId="2BDF4FA4" w14:textId="77777777" w:rsidR="00EE4BF0" w:rsidRPr="00E85D55" w:rsidRDefault="00EE4BF0" w:rsidP="00EE4BF0">
      <w:pPr>
        <w:spacing w:after="0" w:line="480" w:lineRule="auto"/>
        <w:jc w:val="both"/>
        <w:rPr>
          <w:rFonts w:ascii="Times New Roman" w:hAnsi="Times New Roman"/>
          <w:b/>
          <w:sz w:val="20"/>
          <w:szCs w:val="20"/>
          <w:lang w:val="en-GB"/>
        </w:rPr>
      </w:pPr>
      <w:r w:rsidRPr="00E85D55">
        <w:rPr>
          <w:rFonts w:ascii="Times New Roman" w:hAnsi="Times New Roman"/>
          <w:b/>
          <w:sz w:val="20"/>
          <w:szCs w:val="20"/>
          <w:lang w:val="en-GB"/>
        </w:rPr>
        <w:t xml:space="preserve">Appendix </w:t>
      </w:r>
      <w:r>
        <w:rPr>
          <w:rFonts w:ascii="Times New Roman" w:hAnsi="Times New Roman"/>
          <w:b/>
          <w:sz w:val="20"/>
          <w:szCs w:val="20"/>
          <w:lang w:val="en-GB"/>
        </w:rPr>
        <w:t>A.4</w:t>
      </w:r>
      <w:r w:rsidRPr="00E85D55">
        <w:rPr>
          <w:rFonts w:ascii="Times New Roman" w:hAnsi="Times New Roman"/>
          <w:b/>
          <w:sz w:val="20"/>
          <w:szCs w:val="20"/>
          <w:lang w:val="en-GB"/>
        </w:rPr>
        <w:t>. Details on each study: frailty/scarcopenia measures, outcomes, mains findings and statistical uncertainty</w:t>
      </w:r>
    </w:p>
    <w:p w14:paraId="30FF0272" w14:textId="77777777" w:rsidR="00EE4BF0" w:rsidRPr="00E85D55" w:rsidRDefault="00EE4BF0" w:rsidP="00EE4BF0">
      <w:pPr>
        <w:spacing w:after="0" w:line="480" w:lineRule="auto"/>
        <w:jc w:val="both"/>
        <w:rPr>
          <w:rFonts w:ascii="Times New Roman" w:hAnsi="Times New Roman"/>
          <w:b/>
          <w:sz w:val="20"/>
          <w:szCs w:val="20"/>
          <w:lang w:val="en-GB"/>
        </w:rPr>
      </w:pPr>
    </w:p>
    <w:tbl>
      <w:tblPr>
        <w:tblW w:w="14840" w:type="dxa"/>
        <w:tblInd w:w="55" w:type="dxa"/>
        <w:tblCellMar>
          <w:left w:w="70" w:type="dxa"/>
          <w:right w:w="70" w:type="dxa"/>
        </w:tblCellMar>
        <w:tblLook w:val="04A0" w:firstRow="1" w:lastRow="0" w:firstColumn="1" w:lastColumn="0" w:noHBand="0" w:noVBand="1"/>
      </w:tblPr>
      <w:tblGrid>
        <w:gridCol w:w="1640"/>
        <w:gridCol w:w="2360"/>
        <w:gridCol w:w="2160"/>
        <w:gridCol w:w="2360"/>
        <w:gridCol w:w="2680"/>
        <w:gridCol w:w="1040"/>
        <w:gridCol w:w="2600"/>
      </w:tblGrid>
      <w:tr w:rsidR="00EE4BF0" w:rsidRPr="00E85D55" w14:paraId="0A3EE4EA" w14:textId="77777777" w:rsidTr="007D1DAE">
        <w:trPr>
          <w:trHeight w:val="480"/>
        </w:trPr>
        <w:tc>
          <w:tcPr>
            <w:tcW w:w="1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0DAE46"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GB" w:eastAsia="fr-FR"/>
              </w:rPr>
            </w:pPr>
            <w:r w:rsidRPr="00E85D55">
              <w:rPr>
                <w:rFonts w:ascii="Times New Roman" w:eastAsia="Times New Roman" w:hAnsi="Times New Roman"/>
                <w:b/>
                <w:bCs/>
                <w:color w:val="000000"/>
                <w:sz w:val="20"/>
                <w:szCs w:val="20"/>
                <w:lang w:val="en-GB" w:eastAsia="fr-FR"/>
              </w:rPr>
              <w:t>First Author, year, area</w:t>
            </w:r>
            <w:r>
              <w:rPr>
                <w:rFonts w:ascii="Times New Roman" w:eastAsia="Times New Roman" w:hAnsi="Times New Roman"/>
                <w:b/>
                <w:bCs/>
                <w:color w:val="000000"/>
                <w:sz w:val="20"/>
                <w:szCs w:val="20"/>
                <w:lang w:val="en-GB" w:eastAsia="fr-FR"/>
              </w:rPr>
              <w:t>, reference number</w:t>
            </w:r>
          </w:p>
        </w:tc>
        <w:tc>
          <w:tcPr>
            <w:tcW w:w="452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1E38B9F"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GB" w:eastAsia="fr-FR"/>
              </w:rPr>
            </w:pPr>
            <w:r w:rsidRPr="00E85D55">
              <w:rPr>
                <w:rFonts w:ascii="Times New Roman" w:eastAsia="Times New Roman" w:hAnsi="Times New Roman"/>
                <w:b/>
                <w:bCs/>
                <w:color w:val="000000"/>
                <w:sz w:val="20"/>
                <w:szCs w:val="20"/>
                <w:lang w:val="en-GB" w:eastAsia="fr-FR"/>
              </w:rPr>
              <w:t>Frailty / sarcopenia measure</w:t>
            </w:r>
          </w:p>
        </w:tc>
        <w:tc>
          <w:tcPr>
            <w:tcW w:w="2360" w:type="dxa"/>
            <w:tcBorders>
              <w:top w:val="single" w:sz="4" w:space="0" w:color="auto"/>
              <w:left w:val="nil"/>
              <w:bottom w:val="single" w:sz="4" w:space="0" w:color="auto"/>
              <w:right w:val="nil"/>
            </w:tcBorders>
            <w:shd w:val="clear" w:color="000000" w:fill="D9D9D9"/>
            <w:vAlign w:val="center"/>
            <w:hideMark/>
          </w:tcPr>
          <w:p w14:paraId="31702496"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GB" w:eastAsia="fr-FR"/>
              </w:rPr>
            </w:pPr>
            <w:r w:rsidRPr="00E85D55">
              <w:rPr>
                <w:rFonts w:ascii="Times New Roman" w:eastAsia="Times New Roman" w:hAnsi="Times New Roman"/>
                <w:b/>
                <w:bCs/>
                <w:color w:val="000000"/>
                <w:sz w:val="20"/>
                <w:szCs w:val="20"/>
                <w:lang w:val="en-GB" w:eastAsia="fr-FR"/>
              </w:rPr>
              <w:t>LTC outcome</w:t>
            </w:r>
          </w:p>
        </w:tc>
        <w:tc>
          <w:tcPr>
            <w:tcW w:w="37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384F75"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GB" w:eastAsia="fr-FR"/>
              </w:rPr>
            </w:pPr>
            <w:r w:rsidRPr="00E85D55">
              <w:rPr>
                <w:rFonts w:ascii="Times New Roman" w:eastAsia="Times New Roman" w:hAnsi="Times New Roman"/>
                <w:b/>
                <w:bCs/>
                <w:color w:val="000000"/>
                <w:sz w:val="20"/>
                <w:szCs w:val="20"/>
                <w:lang w:val="en-GB" w:eastAsia="fr-FR"/>
              </w:rPr>
              <w:t>Crude estimate</w:t>
            </w:r>
          </w:p>
        </w:tc>
        <w:tc>
          <w:tcPr>
            <w:tcW w:w="26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4D017D" w14:textId="77777777" w:rsidR="00EE4BF0" w:rsidRPr="00E85D55" w:rsidRDefault="00EE4BF0" w:rsidP="007D1DAE">
            <w:pPr>
              <w:spacing w:after="0" w:line="480" w:lineRule="auto"/>
              <w:jc w:val="center"/>
              <w:rPr>
                <w:rFonts w:ascii="Times New Roman" w:eastAsia="Times New Roman" w:hAnsi="Times New Roman"/>
                <w:b/>
                <w:bCs/>
                <w:color w:val="000000"/>
                <w:sz w:val="20"/>
                <w:szCs w:val="20"/>
                <w:lang w:val="en-GB" w:eastAsia="fr-FR"/>
              </w:rPr>
            </w:pPr>
            <w:r w:rsidRPr="00E85D55">
              <w:rPr>
                <w:rFonts w:ascii="Times New Roman" w:eastAsia="Times New Roman" w:hAnsi="Times New Roman"/>
                <w:b/>
                <w:bCs/>
                <w:color w:val="000000"/>
                <w:sz w:val="20"/>
                <w:szCs w:val="20"/>
                <w:lang w:val="en-GB" w:eastAsia="fr-FR"/>
              </w:rPr>
              <w:t>Adjusted estimate</w:t>
            </w:r>
          </w:p>
        </w:tc>
      </w:tr>
      <w:tr w:rsidR="00EE4BF0" w:rsidRPr="00E85D55" w14:paraId="03AF56AA" w14:textId="77777777" w:rsidTr="007D1DAE">
        <w:trPr>
          <w:trHeight w:val="480"/>
        </w:trPr>
        <w:tc>
          <w:tcPr>
            <w:tcW w:w="1640" w:type="dxa"/>
            <w:tcBorders>
              <w:top w:val="nil"/>
              <w:left w:val="single" w:sz="4" w:space="0" w:color="auto"/>
              <w:bottom w:val="single" w:sz="4" w:space="0" w:color="auto"/>
              <w:right w:val="single" w:sz="4" w:space="0" w:color="auto"/>
            </w:tcBorders>
            <w:shd w:val="clear" w:color="000000" w:fill="F2F2F2"/>
            <w:vAlign w:val="center"/>
            <w:hideMark/>
          </w:tcPr>
          <w:p w14:paraId="29E0A9F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w:t>
            </w:r>
          </w:p>
        </w:tc>
        <w:tc>
          <w:tcPr>
            <w:tcW w:w="2360" w:type="dxa"/>
            <w:tcBorders>
              <w:top w:val="nil"/>
              <w:left w:val="nil"/>
              <w:bottom w:val="single" w:sz="4" w:space="0" w:color="auto"/>
              <w:right w:val="single" w:sz="4" w:space="0" w:color="auto"/>
            </w:tcBorders>
            <w:shd w:val="clear" w:color="000000" w:fill="F2F2F2"/>
            <w:vAlign w:val="center"/>
            <w:hideMark/>
          </w:tcPr>
          <w:p w14:paraId="2AE46096" w14:textId="77777777" w:rsidR="00EE4BF0" w:rsidRPr="00E85D55" w:rsidRDefault="00EE4BF0" w:rsidP="007D1DAE">
            <w:pPr>
              <w:spacing w:after="0" w:line="480" w:lineRule="auto"/>
              <w:jc w:val="center"/>
              <w:rPr>
                <w:rFonts w:ascii="Times New Roman" w:eastAsia="Times New Roman" w:hAnsi="Times New Roman"/>
                <w:sz w:val="20"/>
                <w:szCs w:val="20"/>
                <w:lang w:val="en-GB" w:eastAsia="fr-FR"/>
              </w:rPr>
            </w:pPr>
            <w:r w:rsidRPr="00E85D55">
              <w:rPr>
                <w:rFonts w:ascii="Times New Roman" w:eastAsia="Times New Roman" w:hAnsi="Times New Roman"/>
                <w:sz w:val="20"/>
                <w:szCs w:val="20"/>
                <w:lang w:val="en-GB" w:eastAsia="fr-FR"/>
              </w:rPr>
              <w:t>Definition / concept</w:t>
            </w:r>
          </w:p>
        </w:tc>
        <w:tc>
          <w:tcPr>
            <w:tcW w:w="2160" w:type="dxa"/>
            <w:tcBorders>
              <w:top w:val="nil"/>
              <w:left w:val="nil"/>
              <w:bottom w:val="single" w:sz="4" w:space="0" w:color="auto"/>
              <w:right w:val="single" w:sz="4" w:space="0" w:color="auto"/>
            </w:tcBorders>
            <w:shd w:val="clear" w:color="000000" w:fill="F2F2F2"/>
            <w:noWrap/>
            <w:vAlign w:val="center"/>
            <w:hideMark/>
          </w:tcPr>
          <w:p w14:paraId="165A32C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Measurement</w:t>
            </w:r>
          </w:p>
        </w:tc>
        <w:tc>
          <w:tcPr>
            <w:tcW w:w="2360" w:type="dxa"/>
            <w:tcBorders>
              <w:top w:val="nil"/>
              <w:left w:val="nil"/>
              <w:bottom w:val="single" w:sz="4" w:space="0" w:color="auto"/>
              <w:right w:val="single" w:sz="4" w:space="0" w:color="auto"/>
            </w:tcBorders>
            <w:shd w:val="clear" w:color="000000" w:fill="F2F2F2"/>
            <w:vAlign w:val="center"/>
            <w:hideMark/>
          </w:tcPr>
          <w:p w14:paraId="1D5A154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Outcome(s) analyzed</w:t>
            </w:r>
          </w:p>
        </w:tc>
        <w:tc>
          <w:tcPr>
            <w:tcW w:w="2680" w:type="dxa"/>
            <w:tcBorders>
              <w:top w:val="nil"/>
              <w:left w:val="nil"/>
              <w:bottom w:val="single" w:sz="4" w:space="0" w:color="auto"/>
              <w:right w:val="single" w:sz="4" w:space="0" w:color="auto"/>
            </w:tcBorders>
            <w:shd w:val="clear" w:color="000000" w:fill="F2F2F2"/>
            <w:noWrap/>
            <w:vAlign w:val="center"/>
            <w:hideMark/>
          </w:tcPr>
          <w:p w14:paraId="23EEB4E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Value (95% CI or SE)</w:t>
            </w:r>
          </w:p>
        </w:tc>
        <w:tc>
          <w:tcPr>
            <w:tcW w:w="1040" w:type="dxa"/>
            <w:tcBorders>
              <w:top w:val="nil"/>
              <w:left w:val="nil"/>
              <w:bottom w:val="single" w:sz="4" w:space="0" w:color="auto"/>
              <w:right w:val="nil"/>
            </w:tcBorders>
            <w:shd w:val="clear" w:color="000000" w:fill="F2F2F2"/>
            <w:vAlign w:val="center"/>
            <w:hideMark/>
          </w:tcPr>
          <w:p w14:paraId="179F150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Estimate type</w:t>
            </w:r>
          </w:p>
        </w:tc>
        <w:tc>
          <w:tcPr>
            <w:tcW w:w="2600" w:type="dxa"/>
            <w:tcBorders>
              <w:top w:val="nil"/>
              <w:left w:val="single" w:sz="4" w:space="0" w:color="auto"/>
              <w:bottom w:val="single" w:sz="4" w:space="0" w:color="auto"/>
              <w:right w:val="single" w:sz="4" w:space="0" w:color="auto"/>
            </w:tcBorders>
            <w:shd w:val="clear" w:color="000000" w:fill="F2F2F2"/>
            <w:noWrap/>
            <w:vAlign w:val="center"/>
            <w:hideMark/>
          </w:tcPr>
          <w:p w14:paraId="4CF5905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Value (95% CI or SE)</w:t>
            </w:r>
          </w:p>
        </w:tc>
      </w:tr>
      <w:tr w:rsidR="00EE4BF0" w:rsidRPr="00E85D55" w14:paraId="46387715" w14:textId="77777777" w:rsidTr="007D1DAE">
        <w:trPr>
          <w:trHeight w:val="240"/>
        </w:trPr>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789C714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Rothman, 2008, USA</w:t>
            </w:r>
            <w:r>
              <w:rPr>
                <w:rFonts w:ascii="Times New Roman" w:eastAsia="Times New Roman" w:hAnsi="Times New Roman"/>
                <w:color w:val="000000"/>
                <w:sz w:val="20"/>
                <w:szCs w:val="20"/>
                <w:lang w:val="en-GB" w:eastAsia="fr-FR"/>
              </w:rPr>
              <w:t>, [15]</w:t>
            </w:r>
          </w:p>
        </w:tc>
        <w:tc>
          <w:tcPr>
            <w:tcW w:w="2360" w:type="dxa"/>
            <w:tcBorders>
              <w:top w:val="nil"/>
              <w:left w:val="nil"/>
              <w:bottom w:val="single" w:sz="4" w:space="0" w:color="auto"/>
              <w:right w:val="single" w:sz="4" w:space="0" w:color="auto"/>
            </w:tcBorders>
            <w:shd w:val="clear" w:color="auto" w:fill="auto"/>
            <w:vAlign w:val="center"/>
            <w:hideMark/>
          </w:tcPr>
          <w:p w14:paraId="24B383F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Slow gait speed</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14:paraId="15DB8C3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dummy (1/0)</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14:paraId="229E741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Long-term nursing home (NH) stays</w:t>
            </w:r>
          </w:p>
        </w:tc>
        <w:tc>
          <w:tcPr>
            <w:tcW w:w="2680" w:type="dxa"/>
            <w:tcBorders>
              <w:top w:val="nil"/>
              <w:left w:val="nil"/>
              <w:bottom w:val="single" w:sz="4" w:space="0" w:color="auto"/>
              <w:right w:val="single" w:sz="4" w:space="0" w:color="auto"/>
            </w:tcBorders>
            <w:shd w:val="clear" w:color="auto" w:fill="auto"/>
            <w:vAlign w:val="center"/>
            <w:hideMark/>
          </w:tcPr>
          <w:p w14:paraId="33D78D7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5.9 (3.5-9.8)   </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6F5AC72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HR</w:t>
            </w:r>
          </w:p>
        </w:tc>
        <w:tc>
          <w:tcPr>
            <w:tcW w:w="2600" w:type="dxa"/>
            <w:tcBorders>
              <w:top w:val="nil"/>
              <w:left w:val="nil"/>
              <w:bottom w:val="single" w:sz="4" w:space="0" w:color="auto"/>
              <w:right w:val="single" w:sz="4" w:space="0" w:color="auto"/>
            </w:tcBorders>
            <w:shd w:val="clear" w:color="auto" w:fill="auto"/>
            <w:vAlign w:val="center"/>
            <w:hideMark/>
          </w:tcPr>
          <w:p w14:paraId="0897E4F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3.9 (2.2-6.7) </w:t>
            </w:r>
          </w:p>
        </w:tc>
      </w:tr>
      <w:tr w:rsidR="00EE4BF0" w:rsidRPr="00E85D55" w14:paraId="23A0D6F9" w14:textId="77777777" w:rsidTr="007D1DAE">
        <w:trPr>
          <w:trHeight w:val="240"/>
        </w:trPr>
        <w:tc>
          <w:tcPr>
            <w:tcW w:w="1640" w:type="dxa"/>
            <w:vMerge/>
            <w:tcBorders>
              <w:top w:val="nil"/>
              <w:left w:val="single" w:sz="4" w:space="0" w:color="auto"/>
              <w:bottom w:val="single" w:sz="4" w:space="0" w:color="auto"/>
              <w:right w:val="single" w:sz="4" w:space="0" w:color="auto"/>
            </w:tcBorders>
            <w:vAlign w:val="center"/>
            <w:hideMark/>
          </w:tcPr>
          <w:p w14:paraId="7F3D2ACE"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68A01A4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Low physical activity</w:t>
            </w:r>
          </w:p>
        </w:tc>
        <w:tc>
          <w:tcPr>
            <w:tcW w:w="2160" w:type="dxa"/>
            <w:vMerge/>
            <w:tcBorders>
              <w:top w:val="nil"/>
              <w:left w:val="single" w:sz="4" w:space="0" w:color="auto"/>
              <w:bottom w:val="single" w:sz="4" w:space="0" w:color="000000"/>
              <w:right w:val="single" w:sz="4" w:space="0" w:color="auto"/>
            </w:tcBorders>
            <w:vAlign w:val="center"/>
            <w:hideMark/>
          </w:tcPr>
          <w:p w14:paraId="611D9A04"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47AA8570"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80" w:type="dxa"/>
            <w:tcBorders>
              <w:top w:val="nil"/>
              <w:left w:val="nil"/>
              <w:bottom w:val="single" w:sz="4" w:space="0" w:color="auto"/>
              <w:right w:val="single" w:sz="4" w:space="0" w:color="auto"/>
            </w:tcBorders>
            <w:shd w:val="clear" w:color="auto" w:fill="auto"/>
            <w:vAlign w:val="center"/>
            <w:hideMark/>
          </w:tcPr>
          <w:p w14:paraId="73CDE86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3.5 (2.3-5.4)</w:t>
            </w:r>
          </w:p>
        </w:tc>
        <w:tc>
          <w:tcPr>
            <w:tcW w:w="1040" w:type="dxa"/>
            <w:vMerge/>
            <w:tcBorders>
              <w:top w:val="nil"/>
              <w:left w:val="single" w:sz="4" w:space="0" w:color="auto"/>
              <w:bottom w:val="single" w:sz="4" w:space="0" w:color="auto"/>
              <w:right w:val="single" w:sz="4" w:space="0" w:color="auto"/>
            </w:tcBorders>
            <w:vAlign w:val="center"/>
            <w:hideMark/>
          </w:tcPr>
          <w:p w14:paraId="3D5AE6DB"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6357353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2.1 (1.3-3.3)</w:t>
            </w:r>
          </w:p>
        </w:tc>
      </w:tr>
      <w:tr w:rsidR="00EE4BF0" w:rsidRPr="00E85D55" w14:paraId="49E07A9E" w14:textId="77777777" w:rsidTr="007D1DAE">
        <w:trPr>
          <w:trHeight w:val="240"/>
        </w:trPr>
        <w:tc>
          <w:tcPr>
            <w:tcW w:w="1640" w:type="dxa"/>
            <w:vMerge/>
            <w:tcBorders>
              <w:top w:val="nil"/>
              <w:left w:val="single" w:sz="4" w:space="0" w:color="auto"/>
              <w:bottom w:val="single" w:sz="4" w:space="0" w:color="auto"/>
              <w:right w:val="single" w:sz="4" w:space="0" w:color="auto"/>
            </w:tcBorders>
            <w:vAlign w:val="center"/>
            <w:hideMark/>
          </w:tcPr>
          <w:p w14:paraId="6C63C215"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4A197F3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Weight loss</w:t>
            </w:r>
          </w:p>
        </w:tc>
        <w:tc>
          <w:tcPr>
            <w:tcW w:w="2160" w:type="dxa"/>
            <w:vMerge/>
            <w:tcBorders>
              <w:top w:val="nil"/>
              <w:left w:val="single" w:sz="4" w:space="0" w:color="auto"/>
              <w:bottom w:val="single" w:sz="4" w:space="0" w:color="000000"/>
              <w:right w:val="single" w:sz="4" w:space="0" w:color="auto"/>
            </w:tcBorders>
            <w:vAlign w:val="center"/>
            <w:hideMark/>
          </w:tcPr>
          <w:p w14:paraId="4F33184F"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76385DAC"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80" w:type="dxa"/>
            <w:tcBorders>
              <w:top w:val="nil"/>
              <w:left w:val="nil"/>
              <w:bottom w:val="single" w:sz="4" w:space="0" w:color="auto"/>
              <w:right w:val="single" w:sz="4" w:space="0" w:color="auto"/>
            </w:tcBorders>
            <w:shd w:val="clear" w:color="auto" w:fill="auto"/>
            <w:vAlign w:val="center"/>
            <w:hideMark/>
          </w:tcPr>
          <w:p w14:paraId="6B6E7A8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2.0 (1.4-2.9)</w:t>
            </w:r>
          </w:p>
        </w:tc>
        <w:tc>
          <w:tcPr>
            <w:tcW w:w="1040" w:type="dxa"/>
            <w:vMerge/>
            <w:tcBorders>
              <w:top w:val="nil"/>
              <w:left w:val="single" w:sz="4" w:space="0" w:color="auto"/>
              <w:bottom w:val="single" w:sz="4" w:space="0" w:color="auto"/>
              <w:right w:val="single" w:sz="4" w:space="0" w:color="auto"/>
            </w:tcBorders>
            <w:vAlign w:val="center"/>
            <w:hideMark/>
          </w:tcPr>
          <w:p w14:paraId="08608928"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7A7A88D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1.7 (1.2-2.4)</w:t>
            </w:r>
          </w:p>
        </w:tc>
      </w:tr>
      <w:tr w:rsidR="00EE4BF0" w:rsidRPr="00E85D55" w14:paraId="5987798A" w14:textId="77777777" w:rsidTr="007D1DAE">
        <w:trPr>
          <w:trHeight w:val="240"/>
        </w:trPr>
        <w:tc>
          <w:tcPr>
            <w:tcW w:w="1640" w:type="dxa"/>
            <w:vMerge/>
            <w:tcBorders>
              <w:top w:val="nil"/>
              <w:left w:val="single" w:sz="4" w:space="0" w:color="auto"/>
              <w:bottom w:val="single" w:sz="4" w:space="0" w:color="auto"/>
              <w:right w:val="single" w:sz="4" w:space="0" w:color="auto"/>
            </w:tcBorders>
            <w:vAlign w:val="center"/>
            <w:hideMark/>
          </w:tcPr>
          <w:p w14:paraId="43CCE96C"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2723AEE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Exhustion</w:t>
            </w:r>
          </w:p>
        </w:tc>
        <w:tc>
          <w:tcPr>
            <w:tcW w:w="2160" w:type="dxa"/>
            <w:vMerge/>
            <w:tcBorders>
              <w:top w:val="nil"/>
              <w:left w:val="single" w:sz="4" w:space="0" w:color="auto"/>
              <w:bottom w:val="single" w:sz="4" w:space="0" w:color="000000"/>
              <w:right w:val="single" w:sz="4" w:space="0" w:color="auto"/>
            </w:tcBorders>
            <w:vAlign w:val="center"/>
            <w:hideMark/>
          </w:tcPr>
          <w:p w14:paraId="1EF97F27"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648FCD96"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80" w:type="dxa"/>
            <w:tcBorders>
              <w:top w:val="nil"/>
              <w:left w:val="nil"/>
              <w:bottom w:val="single" w:sz="4" w:space="0" w:color="auto"/>
              <w:right w:val="single" w:sz="4" w:space="0" w:color="auto"/>
            </w:tcBorders>
            <w:shd w:val="clear" w:color="auto" w:fill="auto"/>
            <w:vAlign w:val="center"/>
            <w:hideMark/>
          </w:tcPr>
          <w:p w14:paraId="7BCEEC3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2.0 (1.3-2.9)</w:t>
            </w:r>
          </w:p>
        </w:tc>
        <w:tc>
          <w:tcPr>
            <w:tcW w:w="1040" w:type="dxa"/>
            <w:vMerge/>
            <w:tcBorders>
              <w:top w:val="nil"/>
              <w:left w:val="single" w:sz="4" w:space="0" w:color="auto"/>
              <w:bottom w:val="single" w:sz="4" w:space="0" w:color="auto"/>
              <w:right w:val="single" w:sz="4" w:space="0" w:color="auto"/>
            </w:tcBorders>
            <w:vAlign w:val="center"/>
            <w:hideMark/>
          </w:tcPr>
          <w:p w14:paraId="4C485245"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0D88F0B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1.1 (0.8-1.7)</w:t>
            </w:r>
          </w:p>
        </w:tc>
      </w:tr>
      <w:tr w:rsidR="00EE4BF0" w:rsidRPr="00E85D55" w14:paraId="1E746132" w14:textId="77777777" w:rsidTr="007D1DAE">
        <w:trPr>
          <w:trHeight w:val="240"/>
        </w:trPr>
        <w:tc>
          <w:tcPr>
            <w:tcW w:w="1640" w:type="dxa"/>
            <w:vMerge/>
            <w:tcBorders>
              <w:top w:val="nil"/>
              <w:left w:val="single" w:sz="4" w:space="0" w:color="auto"/>
              <w:bottom w:val="single" w:sz="4" w:space="0" w:color="auto"/>
              <w:right w:val="single" w:sz="4" w:space="0" w:color="auto"/>
            </w:tcBorders>
            <w:vAlign w:val="center"/>
            <w:hideMark/>
          </w:tcPr>
          <w:p w14:paraId="3D4E93E6"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0A8CC68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Weakness</w:t>
            </w:r>
          </w:p>
        </w:tc>
        <w:tc>
          <w:tcPr>
            <w:tcW w:w="2160" w:type="dxa"/>
            <w:vMerge/>
            <w:tcBorders>
              <w:top w:val="nil"/>
              <w:left w:val="single" w:sz="4" w:space="0" w:color="auto"/>
              <w:bottom w:val="single" w:sz="4" w:space="0" w:color="000000"/>
              <w:right w:val="single" w:sz="4" w:space="0" w:color="auto"/>
            </w:tcBorders>
            <w:vAlign w:val="center"/>
            <w:hideMark/>
          </w:tcPr>
          <w:p w14:paraId="55AA13EB"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78CB1282"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80" w:type="dxa"/>
            <w:tcBorders>
              <w:top w:val="nil"/>
              <w:left w:val="nil"/>
              <w:bottom w:val="single" w:sz="4" w:space="0" w:color="auto"/>
              <w:right w:val="single" w:sz="4" w:space="0" w:color="auto"/>
            </w:tcBorders>
            <w:shd w:val="clear" w:color="auto" w:fill="auto"/>
            <w:vAlign w:val="center"/>
            <w:hideMark/>
          </w:tcPr>
          <w:p w14:paraId="2191F3E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1.7 (1.1-2.7)</w:t>
            </w:r>
          </w:p>
        </w:tc>
        <w:tc>
          <w:tcPr>
            <w:tcW w:w="1040" w:type="dxa"/>
            <w:vMerge/>
            <w:tcBorders>
              <w:top w:val="nil"/>
              <w:left w:val="single" w:sz="4" w:space="0" w:color="auto"/>
              <w:bottom w:val="single" w:sz="4" w:space="0" w:color="auto"/>
              <w:right w:val="single" w:sz="4" w:space="0" w:color="auto"/>
            </w:tcBorders>
            <w:vAlign w:val="center"/>
            <w:hideMark/>
          </w:tcPr>
          <w:p w14:paraId="77467CF8"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66351BB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1.0 (0.6-1.6)</w:t>
            </w:r>
          </w:p>
        </w:tc>
      </w:tr>
      <w:tr w:rsidR="00EE4BF0" w:rsidRPr="00E85D55" w14:paraId="3734ADEC" w14:textId="77777777" w:rsidTr="007D1DAE">
        <w:trPr>
          <w:trHeight w:val="240"/>
        </w:trPr>
        <w:tc>
          <w:tcPr>
            <w:tcW w:w="1640" w:type="dxa"/>
            <w:vMerge/>
            <w:tcBorders>
              <w:top w:val="nil"/>
              <w:left w:val="single" w:sz="4" w:space="0" w:color="auto"/>
              <w:bottom w:val="single" w:sz="4" w:space="0" w:color="auto"/>
              <w:right w:val="single" w:sz="4" w:space="0" w:color="auto"/>
            </w:tcBorders>
            <w:vAlign w:val="center"/>
            <w:hideMark/>
          </w:tcPr>
          <w:p w14:paraId="71C1735C"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2573731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Cognitive impairments</w:t>
            </w:r>
          </w:p>
        </w:tc>
        <w:tc>
          <w:tcPr>
            <w:tcW w:w="2160" w:type="dxa"/>
            <w:vMerge/>
            <w:tcBorders>
              <w:top w:val="nil"/>
              <w:left w:val="single" w:sz="4" w:space="0" w:color="auto"/>
              <w:bottom w:val="single" w:sz="4" w:space="0" w:color="000000"/>
              <w:right w:val="single" w:sz="4" w:space="0" w:color="auto"/>
            </w:tcBorders>
            <w:vAlign w:val="center"/>
            <w:hideMark/>
          </w:tcPr>
          <w:p w14:paraId="59138ED3"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5E5B2172"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80" w:type="dxa"/>
            <w:tcBorders>
              <w:top w:val="nil"/>
              <w:left w:val="nil"/>
              <w:bottom w:val="single" w:sz="4" w:space="0" w:color="auto"/>
              <w:right w:val="single" w:sz="4" w:space="0" w:color="auto"/>
            </w:tcBorders>
            <w:shd w:val="clear" w:color="auto" w:fill="auto"/>
            <w:vAlign w:val="center"/>
            <w:hideMark/>
          </w:tcPr>
          <w:p w14:paraId="691F08B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3.7  (2.5-5.4)</w:t>
            </w:r>
          </w:p>
        </w:tc>
        <w:tc>
          <w:tcPr>
            <w:tcW w:w="1040" w:type="dxa"/>
            <w:vMerge/>
            <w:tcBorders>
              <w:top w:val="nil"/>
              <w:left w:val="single" w:sz="4" w:space="0" w:color="auto"/>
              <w:bottom w:val="single" w:sz="4" w:space="0" w:color="auto"/>
              <w:right w:val="single" w:sz="4" w:space="0" w:color="auto"/>
            </w:tcBorders>
            <w:vAlign w:val="center"/>
            <w:hideMark/>
          </w:tcPr>
          <w:p w14:paraId="669E9A24"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6D8C375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2.6 (1.7-4.0)</w:t>
            </w:r>
          </w:p>
        </w:tc>
      </w:tr>
      <w:tr w:rsidR="00EE4BF0" w:rsidRPr="00E85D55" w14:paraId="05C7A146" w14:textId="77777777" w:rsidTr="007D1DAE">
        <w:trPr>
          <w:trHeight w:val="240"/>
        </w:trPr>
        <w:tc>
          <w:tcPr>
            <w:tcW w:w="1640" w:type="dxa"/>
            <w:vMerge/>
            <w:tcBorders>
              <w:top w:val="nil"/>
              <w:left w:val="single" w:sz="4" w:space="0" w:color="auto"/>
              <w:bottom w:val="single" w:sz="4" w:space="0" w:color="auto"/>
              <w:right w:val="single" w:sz="4" w:space="0" w:color="auto"/>
            </w:tcBorders>
            <w:vAlign w:val="center"/>
            <w:hideMark/>
          </w:tcPr>
          <w:p w14:paraId="7B0106FB"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7175B9A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Depressive symptoms</w:t>
            </w:r>
          </w:p>
        </w:tc>
        <w:tc>
          <w:tcPr>
            <w:tcW w:w="2160" w:type="dxa"/>
            <w:vMerge/>
            <w:tcBorders>
              <w:top w:val="nil"/>
              <w:left w:val="single" w:sz="4" w:space="0" w:color="auto"/>
              <w:bottom w:val="single" w:sz="4" w:space="0" w:color="000000"/>
              <w:right w:val="single" w:sz="4" w:space="0" w:color="auto"/>
            </w:tcBorders>
            <w:vAlign w:val="center"/>
            <w:hideMark/>
          </w:tcPr>
          <w:p w14:paraId="4C5F2570"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792C0C55"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80" w:type="dxa"/>
            <w:tcBorders>
              <w:top w:val="nil"/>
              <w:left w:val="nil"/>
              <w:bottom w:val="single" w:sz="4" w:space="0" w:color="auto"/>
              <w:right w:val="single" w:sz="4" w:space="0" w:color="auto"/>
            </w:tcBorders>
            <w:shd w:val="clear" w:color="auto" w:fill="auto"/>
            <w:vAlign w:val="center"/>
            <w:hideMark/>
          </w:tcPr>
          <w:p w14:paraId="29E2002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1.8  (1.3-2.6)  </w:t>
            </w:r>
          </w:p>
        </w:tc>
        <w:tc>
          <w:tcPr>
            <w:tcW w:w="1040" w:type="dxa"/>
            <w:vMerge/>
            <w:tcBorders>
              <w:top w:val="nil"/>
              <w:left w:val="single" w:sz="4" w:space="0" w:color="auto"/>
              <w:bottom w:val="single" w:sz="4" w:space="0" w:color="auto"/>
              <w:right w:val="single" w:sz="4" w:space="0" w:color="auto"/>
            </w:tcBorders>
            <w:vAlign w:val="center"/>
            <w:hideMark/>
          </w:tcPr>
          <w:p w14:paraId="5E2BD784"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52F7C18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1.4 (1.0-2.1)</w:t>
            </w:r>
          </w:p>
        </w:tc>
      </w:tr>
      <w:tr w:rsidR="00EE4BF0" w:rsidRPr="00E85D55" w14:paraId="11800C7D" w14:textId="77777777" w:rsidTr="007D1DAE">
        <w:trPr>
          <w:trHeight w:val="480"/>
        </w:trPr>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5682B65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Rochat., 2010, Australia</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14:paraId="6F9B405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Fried criteria</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32001DAD" w14:textId="77777777" w:rsidR="00EE4BF0" w:rsidRPr="001D1CDD" w:rsidRDefault="00EE4BF0" w:rsidP="007D1DAE">
            <w:pPr>
              <w:spacing w:after="0" w:line="480" w:lineRule="auto"/>
              <w:jc w:val="center"/>
              <w:rPr>
                <w:rFonts w:ascii="Times New Roman" w:eastAsia="Times New Roman" w:hAnsi="Times New Roman"/>
                <w:color w:val="000000"/>
                <w:sz w:val="20"/>
                <w:szCs w:val="20"/>
                <w:lang w:val="en-GB" w:eastAsia="fr-FR"/>
              </w:rPr>
            </w:pPr>
            <w:r w:rsidRPr="001D1CDD">
              <w:rPr>
                <w:rFonts w:ascii="Times New Roman" w:eastAsia="Times New Roman" w:hAnsi="Times New Roman"/>
                <w:color w:val="000000"/>
                <w:sz w:val="20"/>
                <w:szCs w:val="20"/>
                <w:lang w:val="en-GB" w:eastAsia="fr-FR"/>
              </w:rPr>
              <w:t>Robust (0 criteria) [REF]</w:t>
            </w:r>
            <w:r w:rsidRPr="001D1CDD">
              <w:rPr>
                <w:rFonts w:ascii="Times New Roman" w:eastAsia="Times New Roman" w:hAnsi="Times New Roman"/>
                <w:color w:val="000000"/>
                <w:sz w:val="20"/>
                <w:szCs w:val="20"/>
                <w:lang w:val="en-GB" w:eastAsia="fr-FR"/>
              </w:rPr>
              <w:br/>
              <w:t xml:space="preserve">Prefrail  (1,2 criteria) </w:t>
            </w:r>
            <w:r w:rsidRPr="001D1CDD">
              <w:rPr>
                <w:rFonts w:ascii="Times New Roman" w:eastAsia="Times New Roman" w:hAnsi="Times New Roman"/>
                <w:color w:val="000000"/>
                <w:sz w:val="20"/>
                <w:szCs w:val="20"/>
                <w:lang w:val="en-GB" w:eastAsia="fr-FR"/>
              </w:rPr>
              <w:br/>
              <w:t xml:space="preserve">Frail (&gt; 2 criteria) </w:t>
            </w:r>
          </w:p>
        </w:tc>
        <w:tc>
          <w:tcPr>
            <w:tcW w:w="2360" w:type="dxa"/>
            <w:tcBorders>
              <w:top w:val="nil"/>
              <w:left w:val="nil"/>
              <w:bottom w:val="single" w:sz="4" w:space="0" w:color="auto"/>
              <w:right w:val="single" w:sz="4" w:space="0" w:color="auto"/>
            </w:tcBorders>
            <w:shd w:val="clear" w:color="auto" w:fill="auto"/>
            <w:vAlign w:val="center"/>
            <w:hideMark/>
          </w:tcPr>
          <w:p w14:paraId="497F483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Nurse visit  (0/1)</w:t>
            </w:r>
          </w:p>
        </w:tc>
        <w:tc>
          <w:tcPr>
            <w:tcW w:w="2680" w:type="dxa"/>
            <w:tcBorders>
              <w:top w:val="nil"/>
              <w:left w:val="nil"/>
              <w:bottom w:val="single" w:sz="4" w:space="0" w:color="auto"/>
              <w:right w:val="single" w:sz="4" w:space="0" w:color="auto"/>
            </w:tcBorders>
            <w:shd w:val="clear" w:color="auto" w:fill="auto"/>
            <w:vAlign w:val="center"/>
            <w:hideMark/>
          </w:tcPr>
          <w:p w14:paraId="3301718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2.08 (1.21-3.56) ;    </w:t>
            </w:r>
            <w:r w:rsidRPr="00E85D55">
              <w:rPr>
                <w:rFonts w:ascii="Times New Roman" w:eastAsia="Times New Roman" w:hAnsi="Times New Roman"/>
                <w:color w:val="000000"/>
                <w:sz w:val="20"/>
                <w:szCs w:val="20"/>
                <w:lang w:val="en-GB" w:eastAsia="fr-FR"/>
              </w:rPr>
              <w:br/>
              <w:t xml:space="preserve">   frail = 10.08 (5.71-17.81)</w:t>
            </w:r>
          </w:p>
        </w:tc>
        <w:tc>
          <w:tcPr>
            <w:tcW w:w="1040" w:type="dxa"/>
            <w:tcBorders>
              <w:top w:val="nil"/>
              <w:left w:val="nil"/>
              <w:bottom w:val="single" w:sz="4" w:space="0" w:color="auto"/>
              <w:right w:val="single" w:sz="4" w:space="0" w:color="auto"/>
            </w:tcBorders>
            <w:shd w:val="clear" w:color="auto" w:fill="auto"/>
            <w:vAlign w:val="center"/>
            <w:hideMark/>
          </w:tcPr>
          <w:p w14:paraId="596DB0F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OR</w:t>
            </w:r>
          </w:p>
        </w:tc>
        <w:tc>
          <w:tcPr>
            <w:tcW w:w="2600" w:type="dxa"/>
            <w:tcBorders>
              <w:top w:val="nil"/>
              <w:left w:val="nil"/>
              <w:bottom w:val="single" w:sz="4" w:space="0" w:color="auto"/>
              <w:right w:val="single" w:sz="4" w:space="0" w:color="auto"/>
            </w:tcBorders>
            <w:shd w:val="clear" w:color="auto" w:fill="auto"/>
            <w:vAlign w:val="center"/>
            <w:hideMark/>
          </w:tcPr>
          <w:p w14:paraId="602BF5C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1.79 (1.01-3.17) ;       </w:t>
            </w:r>
            <w:r w:rsidRPr="00E85D55">
              <w:rPr>
                <w:rFonts w:ascii="Times New Roman" w:eastAsia="Times New Roman" w:hAnsi="Times New Roman"/>
                <w:color w:val="000000"/>
                <w:sz w:val="20"/>
                <w:szCs w:val="20"/>
                <w:lang w:val="en-GB" w:eastAsia="fr-FR"/>
              </w:rPr>
              <w:br/>
              <w:t xml:space="preserve"> frail = 6.75 (3.42-13.30)</w:t>
            </w:r>
          </w:p>
        </w:tc>
      </w:tr>
      <w:tr w:rsidR="00EE4BF0" w:rsidRPr="00E85D55" w14:paraId="0F45CAEA" w14:textId="77777777" w:rsidTr="007D1DAE">
        <w:trPr>
          <w:trHeight w:val="480"/>
        </w:trPr>
        <w:tc>
          <w:tcPr>
            <w:tcW w:w="1640" w:type="dxa"/>
            <w:vMerge/>
            <w:tcBorders>
              <w:top w:val="nil"/>
              <w:left w:val="single" w:sz="4" w:space="0" w:color="auto"/>
              <w:bottom w:val="single" w:sz="4" w:space="0" w:color="auto"/>
              <w:right w:val="single" w:sz="4" w:space="0" w:color="auto"/>
            </w:tcBorders>
            <w:vAlign w:val="center"/>
            <w:hideMark/>
          </w:tcPr>
          <w:p w14:paraId="786BD84C"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5C55C0FC"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160" w:type="dxa"/>
            <w:vMerge/>
            <w:tcBorders>
              <w:top w:val="nil"/>
              <w:left w:val="single" w:sz="4" w:space="0" w:color="auto"/>
              <w:bottom w:val="single" w:sz="4" w:space="0" w:color="auto"/>
              <w:right w:val="single" w:sz="4" w:space="0" w:color="auto"/>
            </w:tcBorders>
            <w:vAlign w:val="center"/>
            <w:hideMark/>
          </w:tcPr>
          <w:p w14:paraId="60D97A9B"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12417E3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Help with meals or household duties (0/1)</w:t>
            </w:r>
          </w:p>
        </w:tc>
        <w:tc>
          <w:tcPr>
            <w:tcW w:w="2680" w:type="dxa"/>
            <w:tcBorders>
              <w:top w:val="nil"/>
              <w:left w:val="nil"/>
              <w:bottom w:val="single" w:sz="4" w:space="0" w:color="auto"/>
              <w:right w:val="single" w:sz="4" w:space="0" w:color="auto"/>
            </w:tcBorders>
            <w:shd w:val="clear" w:color="auto" w:fill="auto"/>
            <w:vAlign w:val="center"/>
            <w:hideMark/>
          </w:tcPr>
          <w:p w14:paraId="759347F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3.44 (2.31-5.13) ;     </w:t>
            </w:r>
            <w:r w:rsidRPr="00E85D55">
              <w:rPr>
                <w:rFonts w:ascii="Times New Roman" w:eastAsia="Times New Roman" w:hAnsi="Times New Roman"/>
                <w:color w:val="000000"/>
                <w:sz w:val="20"/>
                <w:szCs w:val="20"/>
                <w:lang w:val="en-GB" w:eastAsia="fr-FR"/>
              </w:rPr>
              <w:br/>
              <w:t xml:space="preserve">  frail = 11.54 (7.22-18.44)</w:t>
            </w:r>
          </w:p>
        </w:tc>
        <w:tc>
          <w:tcPr>
            <w:tcW w:w="1040" w:type="dxa"/>
            <w:tcBorders>
              <w:top w:val="nil"/>
              <w:left w:val="nil"/>
              <w:bottom w:val="single" w:sz="4" w:space="0" w:color="auto"/>
              <w:right w:val="single" w:sz="4" w:space="0" w:color="auto"/>
            </w:tcBorders>
            <w:shd w:val="clear" w:color="auto" w:fill="auto"/>
            <w:vAlign w:val="center"/>
            <w:hideMark/>
          </w:tcPr>
          <w:p w14:paraId="2E3C959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OR</w:t>
            </w:r>
          </w:p>
        </w:tc>
        <w:tc>
          <w:tcPr>
            <w:tcW w:w="2600" w:type="dxa"/>
            <w:tcBorders>
              <w:top w:val="nil"/>
              <w:left w:val="nil"/>
              <w:bottom w:val="single" w:sz="4" w:space="0" w:color="auto"/>
              <w:right w:val="single" w:sz="4" w:space="0" w:color="auto"/>
            </w:tcBorders>
            <w:shd w:val="clear" w:color="auto" w:fill="auto"/>
            <w:vAlign w:val="center"/>
            <w:hideMark/>
          </w:tcPr>
          <w:p w14:paraId="65447B9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2.46 (1.59-3.82) ;    </w:t>
            </w:r>
            <w:r w:rsidRPr="00E85D55">
              <w:rPr>
                <w:rFonts w:ascii="Times New Roman" w:eastAsia="Times New Roman" w:hAnsi="Times New Roman"/>
                <w:color w:val="000000"/>
                <w:sz w:val="20"/>
                <w:szCs w:val="20"/>
                <w:lang w:val="en-GB" w:eastAsia="fr-FR"/>
              </w:rPr>
              <w:br/>
              <w:t xml:space="preserve">   frail = 4.82 (2.76-8.43)</w:t>
            </w:r>
          </w:p>
        </w:tc>
      </w:tr>
      <w:tr w:rsidR="00EE4BF0" w:rsidRPr="00E85D55" w14:paraId="662FA730" w14:textId="77777777" w:rsidTr="007D1DAE">
        <w:trPr>
          <w:trHeight w:val="480"/>
        </w:trPr>
        <w:tc>
          <w:tcPr>
            <w:tcW w:w="1640" w:type="dxa"/>
            <w:vMerge/>
            <w:tcBorders>
              <w:top w:val="nil"/>
              <w:left w:val="single" w:sz="4" w:space="0" w:color="auto"/>
              <w:bottom w:val="single" w:sz="4" w:space="0" w:color="auto"/>
              <w:right w:val="single" w:sz="4" w:space="0" w:color="auto"/>
            </w:tcBorders>
            <w:vAlign w:val="center"/>
            <w:hideMark/>
          </w:tcPr>
          <w:p w14:paraId="038626F0"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4C9073F1"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160" w:type="dxa"/>
            <w:vMerge/>
            <w:tcBorders>
              <w:top w:val="nil"/>
              <w:left w:val="single" w:sz="4" w:space="0" w:color="auto"/>
              <w:bottom w:val="single" w:sz="4" w:space="0" w:color="auto"/>
              <w:right w:val="single" w:sz="4" w:space="0" w:color="auto"/>
            </w:tcBorders>
            <w:vAlign w:val="center"/>
            <w:hideMark/>
          </w:tcPr>
          <w:p w14:paraId="5CBCCB93"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51DABD3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One night in NH (0/1)</w:t>
            </w:r>
          </w:p>
        </w:tc>
        <w:tc>
          <w:tcPr>
            <w:tcW w:w="2680" w:type="dxa"/>
            <w:tcBorders>
              <w:top w:val="nil"/>
              <w:left w:val="nil"/>
              <w:bottom w:val="single" w:sz="4" w:space="0" w:color="auto"/>
              <w:right w:val="single" w:sz="4" w:space="0" w:color="auto"/>
            </w:tcBorders>
            <w:shd w:val="clear" w:color="auto" w:fill="auto"/>
            <w:vAlign w:val="center"/>
            <w:hideMark/>
          </w:tcPr>
          <w:p w14:paraId="4F9AAA2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1.95 (0.75-5.06) ;     </w:t>
            </w:r>
            <w:r w:rsidRPr="00E85D55">
              <w:rPr>
                <w:rFonts w:ascii="Times New Roman" w:eastAsia="Times New Roman" w:hAnsi="Times New Roman"/>
                <w:color w:val="000000"/>
                <w:sz w:val="20"/>
                <w:szCs w:val="20"/>
                <w:lang w:val="en-GB" w:eastAsia="fr-FR"/>
              </w:rPr>
              <w:br/>
              <w:t xml:space="preserve">  frail = 8.0 (3.00-21.35)</w:t>
            </w:r>
          </w:p>
        </w:tc>
        <w:tc>
          <w:tcPr>
            <w:tcW w:w="1040" w:type="dxa"/>
            <w:tcBorders>
              <w:top w:val="nil"/>
              <w:left w:val="nil"/>
              <w:bottom w:val="single" w:sz="4" w:space="0" w:color="auto"/>
              <w:right w:val="single" w:sz="4" w:space="0" w:color="auto"/>
            </w:tcBorders>
            <w:shd w:val="clear" w:color="auto" w:fill="auto"/>
            <w:vAlign w:val="center"/>
            <w:hideMark/>
          </w:tcPr>
          <w:p w14:paraId="7B7E373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OR</w:t>
            </w:r>
          </w:p>
        </w:tc>
        <w:tc>
          <w:tcPr>
            <w:tcW w:w="2600" w:type="dxa"/>
            <w:tcBorders>
              <w:top w:val="nil"/>
              <w:left w:val="nil"/>
              <w:bottom w:val="single" w:sz="4" w:space="0" w:color="auto"/>
              <w:right w:val="single" w:sz="4" w:space="0" w:color="auto"/>
            </w:tcBorders>
            <w:shd w:val="clear" w:color="auto" w:fill="auto"/>
            <w:vAlign w:val="center"/>
            <w:hideMark/>
          </w:tcPr>
          <w:p w14:paraId="341A0B4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prefrail = 1.45 (0.54-3.93) ;     frail = 3.42 (1.06-11.07)</w:t>
            </w:r>
          </w:p>
        </w:tc>
      </w:tr>
      <w:tr w:rsidR="00EE4BF0" w:rsidRPr="00E85D55" w14:paraId="200D8742" w14:textId="77777777" w:rsidTr="007D1DAE">
        <w:trPr>
          <w:trHeight w:val="480"/>
        </w:trPr>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4D2DDB1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Gobbens et al., 2012, Australia</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14:paraId="7339F3F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Tilburg Frailty Indicator (TFI), part B </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11512DF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Score for physical frailty (0-8)</w:t>
            </w:r>
          </w:p>
        </w:tc>
        <w:tc>
          <w:tcPr>
            <w:tcW w:w="2360" w:type="dxa"/>
            <w:tcBorders>
              <w:top w:val="nil"/>
              <w:left w:val="nil"/>
              <w:bottom w:val="single" w:sz="4" w:space="0" w:color="auto"/>
              <w:right w:val="single" w:sz="4" w:space="0" w:color="auto"/>
            </w:tcBorders>
            <w:shd w:val="clear" w:color="auto" w:fill="auto"/>
            <w:vAlign w:val="center"/>
            <w:hideMark/>
          </w:tcPr>
          <w:p w14:paraId="725C168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Personal care  (0/1)</w:t>
            </w:r>
          </w:p>
        </w:tc>
        <w:tc>
          <w:tcPr>
            <w:tcW w:w="2680" w:type="dxa"/>
            <w:tcBorders>
              <w:top w:val="nil"/>
              <w:left w:val="nil"/>
              <w:bottom w:val="single" w:sz="4" w:space="0" w:color="auto"/>
              <w:right w:val="single" w:sz="4" w:space="0" w:color="auto"/>
            </w:tcBorders>
            <w:shd w:val="clear" w:color="auto" w:fill="auto"/>
            <w:vAlign w:val="center"/>
            <w:hideMark/>
          </w:tcPr>
          <w:p w14:paraId="51D9C1D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29EE2BF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w:t>
            </w:r>
          </w:p>
        </w:tc>
        <w:tc>
          <w:tcPr>
            <w:tcW w:w="2600" w:type="dxa"/>
            <w:tcBorders>
              <w:top w:val="nil"/>
              <w:left w:val="nil"/>
              <w:bottom w:val="single" w:sz="4" w:space="0" w:color="auto"/>
              <w:right w:val="single" w:sz="4" w:space="0" w:color="auto"/>
            </w:tcBorders>
            <w:shd w:val="clear" w:color="auto" w:fill="auto"/>
            <w:vAlign w:val="center"/>
            <w:hideMark/>
          </w:tcPr>
          <w:p w14:paraId="3118D0C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Ph (2009, 2010) = (0.45**, 0.63**)</w:t>
            </w:r>
          </w:p>
        </w:tc>
      </w:tr>
      <w:tr w:rsidR="00EE4BF0" w:rsidRPr="00E85D55" w14:paraId="638E59D9" w14:textId="77777777" w:rsidTr="007D1DAE">
        <w:trPr>
          <w:trHeight w:val="480"/>
        </w:trPr>
        <w:tc>
          <w:tcPr>
            <w:tcW w:w="1640" w:type="dxa"/>
            <w:vMerge/>
            <w:tcBorders>
              <w:top w:val="nil"/>
              <w:left w:val="single" w:sz="4" w:space="0" w:color="auto"/>
              <w:bottom w:val="single" w:sz="4" w:space="0" w:color="auto"/>
              <w:right w:val="single" w:sz="4" w:space="0" w:color="auto"/>
            </w:tcBorders>
            <w:vAlign w:val="center"/>
            <w:hideMark/>
          </w:tcPr>
          <w:p w14:paraId="420AAE37"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2ECA5982"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160" w:type="dxa"/>
            <w:vMerge/>
            <w:tcBorders>
              <w:top w:val="nil"/>
              <w:left w:val="single" w:sz="4" w:space="0" w:color="auto"/>
              <w:bottom w:val="single" w:sz="4" w:space="0" w:color="auto"/>
              <w:right w:val="single" w:sz="4" w:space="0" w:color="auto"/>
            </w:tcBorders>
            <w:vAlign w:val="center"/>
            <w:hideMark/>
          </w:tcPr>
          <w:p w14:paraId="23D8AECA"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4AB637B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Nursing care  (0/1)</w:t>
            </w:r>
          </w:p>
        </w:tc>
        <w:tc>
          <w:tcPr>
            <w:tcW w:w="2680" w:type="dxa"/>
            <w:tcBorders>
              <w:top w:val="nil"/>
              <w:left w:val="nil"/>
              <w:bottom w:val="single" w:sz="4" w:space="0" w:color="auto"/>
              <w:right w:val="single" w:sz="4" w:space="0" w:color="auto"/>
            </w:tcBorders>
            <w:shd w:val="clear" w:color="auto" w:fill="auto"/>
            <w:vAlign w:val="center"/>
            <w:hideMark/>
          </w:tcPr>
          <w:p w14:paraId="4B83B05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c>
          <w:tcPr>
            <w:tcW w:w="1040" w:type="dxa"/>
            <w:vMerge/>
            <w:tcBorders>
              <w:top w:val="nil"/>
              <w:left w:val="single" w:sz="4" w:space="0" w:color="auto"/>
              <w:bottom w:val="single" w:sz="4" w:space="0" w:color="000000"/>
              <w:right w:val="single" w:sz="4" w:space="0" w:color="auto"/>
            </w:tcBorders>
            <w:vAlign w:val="center"/>
            <w:hideMark/>
          </w:tcPr>
          <w:p w14:paraId="161092B6"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14D8FDD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Ph (2009, 2010) = (0.13, -0.038)</w:t>
            </w:r>
          </w:p>
        </w:tc>
      </w:tr>
      <w:tr w:rsidR="00EE4BF0" w:rsidRPr="00E85D55" w14:paraId="21EF30FF" w14:textId="77777777" w:rsidTr="007D1DAE">
        <w:trPr>
          <w:trHeight w:val="480"/>
        </w:trPr>
        <w:tc>
          <w:tcPr>
            <w:tcW w:w="1640" w:type="dxa"/>
            <w:vMerge/>
            <w:tcBorders>
              <w:top w:val="nil"/>
              <w:left w:val="single" w:sz="4" w:space="0" w:color="auto"/>
              <w:bottom w:val="single" w:sz="4" w:space="0" w:color="auto"/>
              <w:right w:val="single" w:sz="4" w:space="0" w:color="auto"/>
            </w:tcBorders>
            <w:vAlign w:val="center"/>
            <w:hideMark/>
          </w:tcPr>
          <w:p w14:paraId="6719BDA2"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618CEDF4"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160" w:type="dxa"/>
            <w:vMerge/>
            <w:tcBorders>
              <w:top w:val="nil"/>
              <w:left w:val="single" w:sz="4" w:space="0" w:color="auto"/>
              <w:bottom w:val="single" w:sz="4" w:space="0" w:color="auto"/>
              <w:right w:val="single" w:sz="4" w:space="0" w:color="auto"/>
            </w:tcBorders>
            <w:vAlign w:val="center"/>
            <w:hideMark/>
          </w:tcPr>
          <w:p w14:paraId="76919E60"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4B75C8E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Informal care (IC)  (0/1)</w:t>
            </w:r>
          </w:p>
        </w:tc>
        <w:tc>
          <w:tcPr>
            <w:tcW w:w="2680" w:type="dxa"/>
            <w:tcBorders>
              <w:top w:val="nil"/>
              <w:left w:val="nil"/>
              <w:bottom w:val="single" w:sz="4" w:space="0" w:color="auto"/>
              <w:right w:val="single" w:sz="4" w:space="0" w:color="auto"/>
            </w:tcBorders>
            <w:shd w:val="clear" w:color="auto" w:fill="auto"/>
            <w:vAlign w:val="center"/>
            <w:hideMark/>
          </w:tcPr>
          <w:p w14:paraId="00AA164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c>
          <w:tcPr>
            <w:tcW w:w="1040" w:type="dxa"/>
            <w:vMerge/>
            <w:tcBorders>
              <w:top w:val="nil"/>
              <w:left w:val="single" w:sz="4" w:space="0" w:color="auto"/>
              <w:bottom w:val="single" w:sz="4" w:space="0" w:color="000000"/>
              <w:right w:val="single" w:sz="4" w:space="0" w:color="auto"/>
            </w:tcBorders>
            <w:vAlign w:val="center"/>
            <w:hideMark/>
          </w:tcPr>
          <w:p w14:paraId="18253DAB"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67BB927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Ph (2009, 2010) = (0.14, 0.23)</w:t>
            </w:r>
          </w:p>
        </w:tc>
      </w:tr>
      <w:tr w:rsidR="00EE4BF0" w:rsidRPr="00E85D55" w14:paraId="5885F582" w14:textId="77777777" w:rsidTr="007D1DAE">
        <w:trPr>
          <w:trHeight w:val="480"/>
        </w:trPr>
        <w:tc>
          <w:tcPr>
            <w:tcW w:w="1640" w:type="dxa"/>
            <w:vMerge/>
            <w:tcBorders>
              <w:top w:val="nil"/>
              <w:left w:val="single" w:sz="4" w:space="0" w:color="auto"/>
              <w:bottom w:val="single" w:sz="4" w:space="0" w:color="auto"/>
              <w:right w:val="single" w:sz="4" w:space="0" w:color="auto"/>
            </w:tcBorders>
            <w:vAlign w:val="center"/>
            <w:hideMark/>
          </w:tcPr>
          <w:p w14:paraId="70375A2F"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168BBC15"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160" w:type="dxa"/>
            <w:vMerge/>
            <w:tcBorders>
              <w:top w:val="nil"/>
              <w:left w:val="single" w:sz="4" w:space="0" w:color="auto"/>
              <w:bottom w:val="single" w:sz="4" w:space="0" w:color="auto"/>
              <w:right w:val="single" w:sz="4" w:space="0" w:color="auto"/>
            </w:tcBorders>
            <w:vAlign w:val="center"/>
            <w:hideMark/>
          </w:tcPr>
          <w:p w14:paraId="09BB209D"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6ADED63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NH / rehabilitation center stay (temporary)  (0/1)</w:t>
            </w:r>
          </w:p>
        </w:tc>
        <w:tc>
          <w:tcPr>
            <w:tcW w:w="2680" w:type="dxa"/>
            <w:tcBorders>
              <w:top w:val="nil"/>
              <w:left w:val="nil"/>
              <w:bottom w:val="single" w:sz="4" w:space="0" w:color="auto"/>
              <w:right w:val="single" w:sz="4" w:space="0" w:color="auto"/>
            </w:tcBorders>
            <w:shd w:val="clear" w:color="auto" w:fill="auto"/>
            <w:vAlign w:val="center"/>
            <w:hideMark/>
          </w:tcPr>
          <w:p w14:paraId="01CDCCA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c>
          <w:tcPr>
            <w:tcW w:w="1040" w:type="dxa"/>
            <w:vMerge/>
            <w:tcBorders>
              <w:top w:val="nil"/>
              <w:left w:val="single" w:sz="4" w:space="0" w:color="auto"/>
              <w:bottom w:val="single" w:sz="4" w:space="0" w:color="000000"/>
              <w:right w:val="single" w:sz="4" w:space="0" w:color="auto"/>
            </w:tcBorders>
            <w:vAlign w:val="center"/>
            <w:hideMark/>
          </w:tcPr>
          <w:p w14:paraId="4F304109"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093BDC7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Ph (2009, 2010) = (0.11, 1.26***)</w:t>
            </w:r>
          </w:p>
        </w:tc>
      </w:tr>
      <w:tr w:rsidR="00EE4BF0" w:rsidRPr="00E85D55" w14:paraId="543D4064" w14:textId="77777777" w:rsidTr="007D1DAE">
        <w:trPr>
          <w:trHeight w:val="480"/>
        </w:trPr>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2628571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Hoeck, 2012, Belgium</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14:paraId="74A2DA0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Fried criteria</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269377B1" w14:textId="77777777" w:rsidR="00EE4BF0" w:rsidRPr="001D1CDD" w:rsidRDefault="00EE4BF0" w:rsidP="007D1DAE">
            <w:pPr>
              <w:spacing w:after="0" w:line="480" w:lineRule="auto"/>
              <w:jc w:val="center"/>
              <w:rPr>
                <w:rFonts w:ascii="Times New Roman" w:eastAsia="Times New Roman" w:hAnsi="Times New Roman"/>
                <w:color w:val="000000"/>
                <w:sz w:val="20"/>
                <w:szCs w:val="20"/>
                <w:lang w:val="en-GB" w:eastAsia="fr-FR"/>
              </w:rPr>
            </w:pPr>
            <w:r w:rsidRPr="001D1CDD">
              <w:rPr>
                <w:rFonts w:ascii="Times New Roman" w:eastAsia="Times New Roman" w:hAnsi="Times New Roman"/>
                <w:color w:val="000000"/>
                <w:sz w:val="20"/>
                <w:szCs w:val="20"/>
                <w:lang w:val="en-GB" w:eastAsia="fr-FR"/>
              </w:rPr>
              <w:t>Robust (0 criteria) [REF]</w:t>
            </w:r>
            <w:r w:rsidRPr="001D1CDD">
              <w:rPr>
                <w:rFonts w:ascii="Times New Roman" w:eastAsia="Times New Roman" w:hAnsi="Times New Roman"/>
                <w:color w:val="000000"/>
                <w:sz w:val="20"/>
                <w:szCs w:val="20"/>
                <w:lang w:val="en-GB" w:eastAsia="fr-FR"/>
              </w:rPr>
              <w:br/>
              <w:t xml:space="preserve">Prefrail  (1,2 criteria) </w:t>
            </w:r>
            <w:r w:rsidRPr="001D1CDD">
              <w:rPr>
                <w:rFonts w:ascii="Times New Roman" w:eastAsia="Times New Roman" w:hAnsi="Times New Roman"/>
                <w:color w:val="000000"/>
                <w:sz w:val="20"/>
                <w:szCs w:val="20"/>
                <w:lang w:val="en-GB" w:eastAsia="fr-FR"/>
              </w:rPr>
              <w:br/>
              <w:t xml:space="preserve">Frail (&gt; 2 criteria) </w:t>
            </w:r>
          </w:p>
        </w:tc>
        <w:tc>
          <w:tcPr>
            <w:tcW w:w="2360" w:type="dxa"/>
            <w:tcBorders>
              <w:top w:val="nil"/>
              <w:left w:val="nil"/>
              <w:bottom w:val="single" w:sz="4" w:space="0" w:color="auto"/>
              <w:right w:val="single" w:sz="4" w:space="0" w:color="auto"/>
            </w:tcBorders>
            <w:shd w:val="clear" w:color="auto" w:fill="auto"/>
            <w:vAlign w:val="center"/>
            <w:hideMark/>
          </w:tcPr>
          <w:p w14:paraId="026394D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Home  (0/1)</w:t>
            </w:r>
          </w:p>
        </w:tc>
        <w:tc>
          <w:tcPr>
            <w:tcW w:w="2680" w:type="dxa"/>
            <w:tcBorders>
              <w:top w:val="nil"/>
              <w:left w:val="nil"/>
              <w:bottom w:val="single" w:sz="4" w:space="0" w:color="auto"/>
              <w:right w:val="single" w:sz="4" w:space="0" w:color="auto"/>
            </w:tcBorders>
            <w:shd w:val="clear" w:color="auto" w:fill="auto"/>
            <w:vAlign w:val="center"/>
            <w:hideMark/>
          </w:tcPr>
          <w:p w14:paraId="4152109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3.25 (2.41-4.37)   </w:t>
            </w:r>
            <w:r w:rsidRPr="00E85D55">
              <w:rPr>
                <w:rFonts w:ascii="Times New Roman" w:eastAsia="Times New Roman" w:hAnsi="Times New Roman"/>
                <w:color w:val="000000"/>
                <w:sz w:val="20"/>
                <w:szCs w:val="20"/>
                <w:lang w:val="en-GB" w:eastAsia="fr-FR"/>
              </w:rPr>
              <w:br/>
              <w:t xml:space="preserve">   frail = 8.68 (5.69-13.22)</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54315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OR</w:t>
            </w:r>
          </w:p>
        </w:tc>
        <w:tc>
          <w:tcPr>
            <w:tcW w:w="2600" w:type="dxa"/>
            <w:tcBorders>
              <w:top w:val="nil"/>
              <w:left w:val="nil"/>
              <w:bottom w:val="single" w:sz="4" w:space="0" w:color="auto"/>
              <w:right w:val="single" w:sz="4" w:space="0" w:color="auto"/>
            </w:tcBorders>
            <w:shd w:val="clear" w:color="auto" w:fill="auto"/>
            <w:vAlign w:val="center"/>
            <w:hideMark/>
          </w:tcPr>
          <w:p w14:paraId="2CF5294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2.09 (1.51-2.90)  </w:t>
            </w:r>
            <w:r w:rsidRPr="00E85D55">
              <w:rPr>
                <w:rFonts w:ascii="Times New Roman" w:eastAsia="Times New Roman" w:hAnsi="Times New Roman"/>
                <w:color w:val="000000"/>
                <w:sz w:val="20"/>
                <w:szCs w:val="20"/>
                <w:lang w:val="en-GB" w:eastAsia="fr-FR"/>
              </w:rPr>
              <w:br/>
              <w:t xml:space="preserve">  frail = 4.29 (2.72-6.28)</w:t>
            </w:r>
          </w:p>
        </w:tc>
      </w:tr>
      <w:tr w:rsidR="00EE4BF0" w:rsidRPr="00E85D55" w14:paraId="24F2E31B" w14:textId="77777777" w:rsidTr="007D1DAE">
        <w:trPr>
          <w:trHeight w:val="480"/>
        </w:trPr>
        <w:tc>
          <w:tcPr>
            <w:tcW w:w="1640" w:type="dxa"/>
            <w:vMerge/>
            <w:tcBorders>
              <w:top w:val="nil"/>
              <w:left w:val="single" w:sz="4" w:space="0" w:color="auto"/>
              <w:bottom w:val="single" w:sz="4" w:space="0" w:color="auto"/>
              <w:right w:val="single" w:sz="4" w:space="0" w:color="auto"/>
            </w:tcBorders>
            <w:vAlign w:val="center"/>
            <w:hideMark/>
          </w:tcPr>
          <w:p w14:paraId="4CDC0DA0"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3103900A"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160" w:type="dxa"/>
            <w:vMerge/>
            <w:tcBorders>
              <w:top w:val="nil"/>
              <w:left w:val="single" w:sz="4" w:space="0" w:color="auto"/>
              <w:bottom w:val="single" w:sz="4" w:space="0" w:color="auto"/>
              <w:right w:val="single" w:sz="4" w:space="0" w:color="auto"/>
            </w:tcBorders>
            <w:vAlign w:val="center"/>
            <w:hideMark/>
          </w:tcPr>
          <w:p w14:paraId="70B98C19"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19408B5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Home help  (0/1)</w:t>
            </w:r>
          </w:p>
        </w:tc>
        <w:tc>
          <w:tcPr>
            <w:tcW w:w="2680" w:type="dxa"/>
            <w:tcBorders>
              <w:top w:val="nil"/>
              <w:left w:val="nil"/>
              <w:bottom w:val="single" w:sz="4" w:space="0" w:color="auto"/>
              <w:right w:val="single" w:sz="4" w:space="0" w:color="auto"/>
            </w:tcBorders>
            <w:shd w:val="clear" w:color="auto" w:fill="auto"/>
            <w:vAlign w:val="center"/>
            <w:hideMark/>
          </w:tcPr>
          <w:p w14:paraId="5C2DCCE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4.56 (3.04-6.82) </w:t>
            </w:r>
            <w:r w:rsidRPr="00E85D55">
              <w:rPr>
                <w:rFonts w:ascii="Times New Roman" w:eastAsia="Times New Roman" w:hAnsi="Times New Roman"/>
                <w:color w:val="000000"/>
                <w:sz w:val="20"/>
                <w:szCs w:val="20"/>
                <w:lang w:val="en-GB" w:eastAsia="fr-FR"/>
              </w:rPr>
              <w:br/>
              <w:t xml:space="preserve"> frail = 10.75 (6.34-18.22)</w:t>
            </w:r>
          </w:p>
        </w:tc>
        <w:tc>
          <w:tcPr>
            <w:tcW w:w="1040" w:type="dxa"/>
            <w:vMerge/>
            <w:tcBorders>
              <w:top w:val="nil"/>
              <w:left w:val="single" w:sz="4" w:space="0" w:color="auto"/>
              <w:bottom w:val="single" w:sz="4" w:space="0" w:color="000000"/>
              <w:right w:val="single" w:sz="4" w:space="0" w:color="auto"/>
            </w:tcBorders>
            <w:vAlign w:val="center"/>
            <w:hideMark/>
          </w:tcPr>
          <w:p w14:paraId="641A0338"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54FA649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2.51 (1.61-3.90)   </w:t>
            </w:r>
            <w:r w:rsidRPr="00E85D55">
              <w:rPr>
                <w:rFonts w:ascii="Times New Roman" w:eastAsia="Times New Roman" w:hAnsi="Times New Roman"/>
                <w:color w:val="000000"/>
                <w:sz w:val="20"/>
                <w:szCs w:val="20"/>
                <w:lang w:val="en-GB" w:eastAsia="fr-FR"/>
              </w:rPr>
              <w:br/>
              <w:t xml:space="preserve">   frail = 3.97 (2.21-7.16)</w:t>
            </w:r>
          </w:p>
        </w:tc>
      </w:tr>
      <w:tr w:rsidR="00EE4BF0" w:rsidRPr="00E85D55" w14:paraId="1B57C874" w14:textId="77777777" w:rsidTr="007D1DAE">
        <w:trPr>
          <w:trHeight w:val="480"/>
        </w:trPr>
        <w:tc>
          <w:tcPr>
            <w:tcW w:w="1640" w:type="dxa"/>
            <w:vMerge/>
            <w:tcBorders>
              <w:top w:val="nil"/>
              <w:left w:val="single" w:sz="4" w:space="0" w:color="auto"/>
              <w:bottom w:val="single" w:sz="4" w:space="0" w:color="auto"/>
              <w:right w:val="single" w:sz="4" w:space="0" w:color="auto"/>
            </w:tcBorders>
            <w:vAlign w:val="center"/>
            <w:hideMark/>
          </w:tcPr>
          <w:p w14:paraId="14FF5741"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22C3274A"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160" w:type="dxa"/>
            <w:vMerge/>
            <w:tcBorders>
              <w:top w:val="nil"/>
              <w:left w:val="single" w:sz="4" w:space="0" w:color="auto"/>
              <w:bottom w:val="single" w:sz="4" w:space="0" w:color="auto"/>
              <w:right w:val="single" w:sz="4" w:space="0" w:color="auto"/>
            </w:tcBorders>
            <w:vAlign w:val="center"/>
            <w:hideMark/>
          </w:tcPr>
          <w:p w14:paraId="33C71115"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76E72C3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Meals-on-wheels  (0/1)</w:t>
            </w:r>
          </w:p>
        </w:tc>
        <w:tc>
          <w:tcPr>
            <w:tcW w:w="2680" w:type="dxa"/>
            <w:tcBorders>
              <w:top w:val="nil"/>
              <w:left w:val="nil"/>
              <w:bottom w:val="single" w:sz="4" w:space="0" w:color="auto"/>
              <w:right w:val="single" w:sz="4" w:space="0" w:color="auto"/>
            </w:tcBorders>
            <w:shd w:val="clear" w:color="auto" w:fill="auto"/>
            <w:vAlign w:val="center"/>
            <w:hideMark/>
          </w:tcPr>
          <w:p w14:paraId="1D9929A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2.89 (1.59-5.26)  </w:t>
            </w:r>
            <w:r w:rsidRPr="00E85D55">
              <w:rPr>
                <w:rFonts w:ascii="Times New Roman" w:eastAsia="Times New Roman" w:hAnsi="Times New Roman"/>
                <w:color w:val="000000"/>
                <w:sz w:val="20"/>
                <w:szCs w:val="20"/>
                <w:lang w:val="en-GB" w:eastAsia="fr-FR"/>
              </w:rPr>
              <w:br/>
              <w:t>frail =  6.91 (3.49-13.67)</w:t>
            </w:r>
          </w:p>
        </w:tc>
        <w:tc>
          <w:tcPr>
            <w:tcW w:w="1040" w:type="dxa"/>
            <w:vMerge/>
            <w:tcBorders>
              <w:top w:val="nil"/>
              <w:left w:val="single" w:sz="4" w:space="0" w:color="auto"/>
              <w:bottom w:val="single" w:sz="4" w:space="0" w:color="000000"/>
              <w:right w:val="single" w:sz="4" w:space="0" w:color="auto"/>
            </w:tcBorders>
            <w:vAlign w:val="center"/>
            <w:hideMark/>
          </w:tcPr>
          <w:p w14:paraId="17DFD180"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0074C93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1.86 (0.95-3.66)      </w:t>
            </w:r>
            <w:r w:rsidRPr="00E85D55">
              <w:rPr>
                <w:rFonts w:ascii="Times New Roman" w:eastAsia="Times New Roman" w:hAnsi="Times New Roman"/>
                <w:color w:val="000000"/>
                <w:sz w:val="20"/>
                <w:szCs w:val="20"/>
                <w:lang w:val="en-GB" w:eastAsia="fr-FR"/>
              </w:rPr>
              <w:br/>
              <w:t xml:space="preserve">      frail = 3.23 (1.35-7.66)</w:t>
            </w:r>
          </w:p>
        </w:tc>
      </w:tr>
      <w:tr w:rsidR="00EE4BF0" w:rsidRPr="00E85D55" w14:paraId="136EF789" w14:textId="77777777" w:rsidTr="007D1DAE">
        <w:trPr>
          <w:trHeight w:val="480"/>
        </w:trPr>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11B1C79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Hogan, 2012, Canada</w:t>
            </w:r>
          </w:p>
        </w:tc>
        <w:tc>
          <w:tcPr>
            <w:tcW w:w="2360" w:type="dxa"/>
            <w:tcBorders>
              <w:top w:val="nil"/>
              <w:left w:val="nil"/>
              <w:bottom w:val="single" w:sz="4" w:space="0" w:color="auto"/>
              <w:right w:val="single" w:sz="4" w:space="0" w:color="auto"/>
            </w:tcBorders>
            <w:shd w:val="clear" w:color="auto" w:fill="auto"/>
            <w:vAlign w:val="center"/>
            <w:hideMark/>
          </w:tcPr>
          <w:p w14:paraId="6C42825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Armstrong Index</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4E90538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continuous scores coded into categorical : </w:t>
            </w:r>
            <w:r w:rsidRPr="00E85D55">
              <w:rPr>
                <w:rFonts w:ascii="Times New Roman" w:eastAsia="Times New Roman" w:hAnsi="Times New Roman"/>
                <w:color w:val="000000"/>
                <w:sz w:val="20"/>
                <w:szCs w:val="20"/>
                <w:lang w:val="en-GB" w:eastAsia="fr-FR"/>
              </w:rPr>
              <w:br/>
              <w:t>Robust [REF]</w:t>
            </w:r>
            <w:r w:rsidRPr="00E85D55">
              <w:rPr>
                <w:rFonts w:ascii="Times New Roman" w:eastAsia="Times New Roman" w:hAnsi="Times New Roman"/>
                <w:color w:val="000000"/>
                <w:sz w:val="20"/>
                <w:szCs w:val="20"/>
                <w:lang w:val="en-GB" w:eastAsia="fr-FR"/>
              </w:rPr>
              <w:br/>
            </w:r>
            <w:r w:rsidRPr="00E85D55">
              <w:rPr>
                <w:rFonts w:ascii="Times New Roman" w:eastAsia="Times New Roman" w:hAnsi="Times New Roman"/>
                <w:color w:val="000000"/>
                <w:sz w:val="20"/>
                <w:szCs w:val="20"/>
                <w:lang w:val="en-GB" w:eastAsia="fr-FR"/>
              </w:rPr>
              <w:lastRenderedPageBreak/>
              <w:t>Prefrail</w:t>
            </w:r>
            <w:r w:rsidRPr="00E85D55">
              <w:rPr>
                <w:rFonts w:ascii="Times New Roman" w:eastAsia="Times New Roman" w:hAnsi="Times New Roman"/>
                <w:color w:val="000000"/>
                <w:sz w:val="20"/>
                <w:szCs w:val="20"/>
                <w:lang w:val="en-GB" w:eastAsia="fr-FR"/>
              </w:rPr>
              <w:br/>
              <w:t>Frail</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14:paraId="11E188E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lastRenderedPageBreak/>
              <w:t>Move to long-term care placemement  (0/1)</w:t>
            </w:r>
          </w:p>
        </w:tc>
        <w:tc>
          <w:tcPr>
            <w:tcW w:w="2680" w:type="dxa"/>
            <w:tcBorders>
              <w:top w:val="nil"/>
              <w:left w:val="nil"/>
              <w:bottom w:val="single" w:sz="4" w:space="0" w:color="auto"/>
              <w:right w:val="single" w:sz="4" w:space="0" w:color="auto"/>
            </w:tcBorders>
            <w:shd w:val="clear" w:color="auto" w:fill="auto"/>
            <w:vAlign w:val="center"/>
            <w:hideMark/>
          </w:tcPr>
          <w:p w14:paraId="144E19D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2.25 (1.00-5.08) </w:t>
            </w:r>
            <w:r w:rsidRPr="00E85D55">
              <w:rPr>
                <w:rFonts w:ascii="Times New Roman" w:eastAsia="Times New Roman" w:hAnsi="Times New Roman"/>
                <w:color w:val="000000"/>
                <w:sz w:val="20"/>
                <w:szCs w:val="20"/>
                <w:lang w:val="en-GB" w:eastAsia="fr-FR"/>
              </w:rPr>
              <w:br/>
              <w:t xml:space="preserve"> frail  = 4.21 (1.91-9.25)</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1341A2E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RR</w:t>
            </w:r>
          </w:p>
        </w:tc>
        <w:tc>
          <w:tcPr>
            <w:tcW w:w="2600" w:type="dxa"/>
            <w:tcBorders>
              <w:top w:val="nil"/>
              <w:left w:val="nil"/>
              <w:bottom w:val="single" w:sz="4" w:space="0" w:color="auto"/>
              <w:right w:val="single" w:sz="4" w:space="0" w:color="auto"/>
            </w:tcBorders>
            <w:shd w:val="clear" w:color="auto" w:fill="auto"/>
            <w:vAlign w:val="center"/>
            <w:hideMark/>
          </w:tcPr>
          <w:p w14:paraId="5814077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2.21 (0.98-4.99) </w:t>
            </w:r>
            <w:r w:rsidRPr="00E85D55">
              <w:rPr>
                <w:rFonts w:ascii="Times New Roman" w:eastAsia="Times New Roman" w:hAnsi="Times New Roman"/>
                <w:color w:val="000000"/>
                <w:sz w:val="20"/>
                <w:szCs w:val="20"/>
                <w:lang w:val="en-GB" w:eastAsia="fr-FR"/>
              </w:rPr>
              <w:br/>
              <w:t xml:space="preserve">  frail  = 4.14 (1.87-9.14)</w:t>
            </w:r>
          </w:p>
        </w:tc>
      </w:tr>
      <w:tr w:rsidR="00EE4BF0" w:rsidRPr="00E85D55" w14:paraId="5C053D24" w14:textId="77777777" w:rsidTr="007D1DAE">
        <w:trPr>
          <w:trHeight w:val="480"/>
        </w:trPr>
        <w:tc>
          <w:tcPr>
            <w:tcW w:w="1640" w:type="dxa"/>
            <w:vMerge/>
            <w:tcBorders>
              <w:top w:val="nil"/>
              <w:left w:val="single" w:sz="4" w:space="0" w:color="auto"/>
              <w:bottom w:val="single" w:sz="4" w:space="0" w:color="auto"/>
              <w:right w:val="single" w:sz="4" w:space="0" w:color="auto"/>
            </w:tcBorders>
            <w:vAlign w:val="center"/>
            <w:hideMark/>
          </w:tcPr>
          <w:p w14:paraId="231B090E"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5F37201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Full frailty index (83 items)</w:t>
            </w:r>
          </w:p>
        </w:tc>
        <w:tc>
          <w:tcPr>
            <w:tcW w:w="2160" w:type="dxa"/>
            <w:vMerge/>
            <w:tcBorders>
              <w:top w:val="nil"/>
              <w:left w:val="single" w:sz="4" w:space="0" w:color="auto"/>
              <w:bottom w:val="single" w:sz="4" w:space="0" w:color="auto"/>
              <w:right w:val="single" w:sz="4" w:space="0" w:color="auto"/>
            </w:tcBorders>
            <w:vAlign w:val="center"/>
            <w:hideMark/>
          </w:tcPr>
          <w:p w14:paraId="60D739E5"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3BD4E5BA"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80" w:type="dxa"/>
            <w:tcBorders>
              <w:top w:val="nil"/>
              <w:left w:val="nil"/>
              <w:bottom w:val="single" w:sz="4" w:space="0" w:color="auto"/>
              <w:right w:val="single" w:sz="4" w:space="0" w:color="auto"/>
            </w:tcBorders>
            <w:shd w:val="clear" w:color="auto" w:fill="auto"/>
            <w:vAlign w:val="center"/>
            <w:hideMark/>
          </w:tcPr>
          <w:p w14:paraId="717DDAB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1.85 (1.26-2.72)  </w:t>
            </w:r>
            <w:r w:rsidRPr="00E85D55">
              <w:rPr>
                <w:rFonts w:ascii="Times New Roman" w:eastAsia="Times New Roman" w:hAnsi="Times New Roman"/>
                <w:color w:val="000000"/>
                <w:sz w:val="20"/>
                <w:szCs w:val="20"/>
                <w:lang w:val="en-GB" w:eastAsia="fr-FR"/>
              </w:rPr>
              <w:br/>
              <w:t>frail = 3.30 (2.30-4.75)</w:t>
            </w:r>
          </w:p>
        </w:tc>
        <w:tc>
          <w:tcPr>
            <w:tcW w:w="1040" w:type="dxa"/>
            <w:vMerge/>
            <w:tcBorders>
              <w:top w:val="nil"/>
              <w:left w:val="single" w:sz="4" w:space="0" w:color="auto"/>
              <w:bottom w:val="single" w:sz="4" w:space="0" w:color="auto"/>
              <w:right w:val="single" w:sz="4" w:space="0" w:color="auto"/>
            </w:tcBorders>
            <w:vAlign w:val="center"/>
            <w:hideMark/>
          </w:tcPr>
          <w:p w14:paraId="043DCAD9"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519BAB3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1.87 (1.27-2.75)     </w:t>
            </w:r>
            <w:r w:rsidRPr="00E85D55">
              <w:rPr>
                <w:rFonts w:ascii="Times New Roman" w:eastAsia="Times New Roman" w:hAnsi="Times New Roman"/>
                <w:color w:val="000000"/>
                <w:sz w:val="20"/>
                <w:szCs w:val="20"/>
                <w:lang w:val="en-GB" w:eastAsia="fr-FR"/>
              </w:rPr>
              <w:br/>
              <w:t xml:space="preserve">      frail = 3.30 (2.29-4.76)</w:t>
            </w:r>
          </w:p>
        </w:tc>
      </w:tr>
      <w:tr w:rsidR="00EE4BF0" w:rsidRPr="00E85D55" w14:paraId="3C2B25A1" w14:textId="77777777" w:rsidTr="007D1DAE">
        <w:trPr>
          <w:trHeight w:val="480"/>
        </w:trPr>
        <w:tc>
          <w:tcPr>
            <w:tcW w:w="1640" w:type="dxa"/>
            <w:vMerge/>
            <w:tcBorders>
              <w:top w:val="nil"/>
              <w:left w:val="single" w:sz="4" w:space="0" w:color="auto"/>
              <w:bottom w:val="single" w:sz="4" w:space="0" w:color="auto"/>
              <w:right w:val="single" w:sz="4" w:space="0" w:color="auto"/>
            </w:tcBorders>
            <w:vAlign w:val="center"/>
            <w:hideMark/>
          </w:tcPr>
          <w:p w14:paraId="50078331"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4B40C4F8" w14:textId="77777777" w:rsidR="00EE4BF0" w:rsidRPr="00A53203" w:rsidRDefault="00EE4BF0" w:rsidP="007D1DAE">
            <w:pPr>
              <w:spacing w:after="0" w:line="360" w:lineRule="auto"/>
              <w:jc w:val="both"/>
              <w:rPr>
                <w:rFonts w:ascii="Times New Roman" w:hAnsi="Times New Roman"/>
                <w:sz w:val="20"/>
                <w:lang w:val="en-GB"/>
              </w:rPr>
            </w:pPr>
            <w:r w:rsidRPr="00A53203">
              <w:rPr>
                <w:rFonts w:ascii="Times New Roman" w:hAnsi="Times New Roman"/>
                <w:sz w:val="20"/>
                <w:lang w:val="en-GB"/>
              </w:rPr>
              <w:t>Cardiovascular Health Study (CHS) criteria</w:t>
            </w:r>
          </w:p>
          <w:p w14:paraId="0ED1339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 </w:t>
            </w:r>
          </w:p>
        </w:tc>
        <w:tc>
          <w:tcPr>
            <w:tcW w:w="2160" w:type="dxa"/>
            <w:vMerge/>
            <w:tcBorders>
              <w:top w:val="nil"/>
              <w:left w:val="single" w:sz="4" w:space="0" w:color="auto"/>
              <w:bottom w:val="single" w:sz="4" w:space="0" w:color="auto"/>
              <w:right w:val="single" w:sz="4" w:space="0" w:color="auto"/>
            </w:tcBorders>
            <w:vAlign w:val="center"/>
            <w:hideMark/>
          </w:tcPr>
          <w:p w14:paraId="0AB4E500"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58C1ECDE"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80" w:type="dxa"/>
            <w:tcBorders>
              <w:top w:val="nil"/>
              <w:left w:val="nil"/>
              <w:bottom w:val="single" w:sz="4" w:space="0" w:color="auto"/>
              <w:right w:val="single" w:sz="4" w:space="0" w:color="auto"/>
            </w:tcBorders>
            <w:shd w:val="clear" w:color="auto" w:fill="auto"/>
            <w:vAlign w:val="center"/>
            <w:hideMark/>
          </w:tcPr>
          <w:p w14:paraId="22A8DF8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1.54 (0.95-2.51) </w:t>
            </w:r>
            <w:r w:rsidRPr="00E85D55">
              <w:rPr>
                <w:rFonts w:ascii="Times New Roman" w:eastAsia="Times New Roman" w:hAnsi="Times New Roman"/>
                <w:color w:val="000000"/>
                <w:sz w:val="20"/>
                <w:szCs w:val="20"/>
                <w:lang w:val="en-GB" w:eastAsia="fr-FR"/>
              </w:rPr>
              <w:br/>
              <w:t>frail = 2.21 (1.41-3.46)</w:t>
            </w:r>
          </w:p>
        </w:tc>
        <w:tc>
          <w:tcPr>
            <w:tcW w:w="1040" w:type="dxa"/>
            <w:vMerge/>
            <w:tcBorders>
              <w:top w:val="nil"/>
              <w:left w:val="single" w:sz="4" w:space="0" w:color="auto"/>
              <w:bottom w:val="single" w:sz="4" w:space="0" w:color="auto"/>
              <w:right w:val="single" w:sz="4" w:space="0" w:color="auto"/>
            </w:tcBorders>
            <w:vAlign w:val="center"/>
            <w:hideMark/>
          </w:tcPr>
          <w:p w14:paraId="4393566B"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066718B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1.49 (0.91-2.43)  </w:t>
            </w:r>
            <w:r w:rsidRPr="00E85D55">
              <w:rPr>
                <w:rFonts w:ascii="Times New Roman" w:eastAsia="Times New Roman" w:hAnsi="Times New Roman"/>
                <w:color w:val="000000"/>
                <w:sz w:val="20"/>
                <w:szCs w:val="20"/>
                <w:lang w:val="en-GB" w:eastAsia="fr-FR"/>
              </w:rPr>
              <w:br/>
              <w:t>frail = 2.17 (1.38-3.41)</w:t>
            </w:r>
          </w:p>
        </w:tc>
      </w:tr>
      <w:tr w:rsidR="00EE4BF0" w:rsidRPr="00E85D55" w14:paraId="0358E6AE" w14:textId="77777777" w:rsidTr="007D1DAE">
        <w:trPr>
          <w:trHeight w:val="720"/>
        </w:trPr>
        <w:tc>
          <w:tcPr>
            <w:tcW w:w="1640" w:type="dxa"/>
            <w:vMerge/>
            <w:tcBorders>
              <w:top w:val="nil"/>
              <w:left w:val="single" w:sz="4" w:space="0" w:color="auto"/>
              <w:bottom w:val="single" w:sz="4" w:space="0" w:color="auto"/>
              <w:right w:val="single" w:sz="4" w:space="0" w:color="auto"/>
            </w:tcBorders>
            <w:vAlign w:val="center"/>
            <w:hideMark/>
          </w:tcPr>
          <w:p w14:paraId="5E4F5778"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24DB8976" w14:textId="77777777" w:rsidR="00EE4BF0" w:rsidRPr="00356646" w:rsidRDefault="00EE4BF0" w:rsidP="007D1DAE">
            <w:pPr>
              <w:spacing w:after="0" w:line="480" w:lineRule="auto"/>
              <w:jc w:val="center"/>
              <w:rPr>
                <w:rFonts w:ascii="Times New Roman" w:eastAsia="Times New Roman" w:hAnsi="Times New Roman"/>
                <w:color w:val="000000"/>
                <w:sz w:val="20"/>
                <w:szCs w:val="20"/>
                <w:lang w:val="en-GB" w:eastAsia="fr-FR"/>
              </w:rPr>
            </w:pPr>
            <w:r w:rsidRPr="0074612E">
              <w:rPr>
                <w:rFonts w:ascii="Times New Roman" w:hAnsi="Times New Roman"/>
                <w:sz w:val="20"/>
                <w:szCs w:val="20"/>
                <w:lang w:val="en-GB"/>
              </w:rPr>
              <w:t>Changes in Health, End-stage disease and Signs and Symptoms; CHS: Cardiovascular Health Study (CHESS) scale</w:t>
            </w:r>
            <w:r w:rsidRPr="00356646">
              <w:rPr>
                <w:rFonts w:ascii="Times New Roman" w:eastAsia="Times New Roman" w:hAnsi="Times New Roman"/>
                <w:color w:val="000000"/>
                <w:sz w:val="20"/>
                <w:szCs w:val="20"/>
                <w:lang w:val="en-GB" w:eastAsia="fr-FR"/>
              </w:rPr>
              <w:t xml:space="preserve"> </w:t>
            </w:r>
          </w:p>
        </w:tc>
        <w:tc>
          <w:tcPr>
            <w:tcW w:w="2160" w:type="dxa"/>
            <w:vMerge/>
            <w:tcBorders>
              <w:top w:val="nil"/>
              <w:left w:val="single" w:sz="4" w:space="0" w:color="auto"/>
              <w:bottom w:val="single" w:sz="4" w:space="0" w:color="auto"/>
              <w:right w:val="single" w:sz="4" w:space="0" w:color="auto"/>
            </w:tcBorders>
            <w:vAlign w:val="center"/>
            <w:hideMark/>
          </w:tcPr>
          <w:p w14:paraId="153538CE"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35D0EE82"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80" w:type="dxa"/>
            <w:tcBorders>
              <w:top w:val="nil"/>
              <w:left w:val="nil"/>
              <w:bottom w:val="single" w:sz="4" w:space="0" w:color="auto"/>
              <w:right w:val="single" w:sz="4" w:space="0" w:color="auto"/>
            </w:tcBorders>
            <w:shd w:val="clear" w:color="auto" w:fill="auto"/>
            <w:vAlign w:val="center"/>
            <w:hideMark/>
          </w:tcPr>
          <w:p w14:paraId="2B5AC97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 1.33 (0.98-1.81)    </w:t>
            </w:r>
            <w:r w:rsidRPr="00E85D55">
              <w:rPr>
                <w:rFonts w:ascii="Times New Roman" w:eastAsia="Times New Roman" w:hAnsi="Times New Roman"/>
                <w:color w:val="000000"/>
                <w:sz w:val="20"/>
                <w:szCs w:val="20"/>
                <w:lang w:val="en-GB" w:eastAsia="fr-FR"/>
              </w:rPr>
              <w:br/>
              <w:t xml:space="preserve">    frail = 1.84 (1.38-2.47)</w:t>
            </w:r>
          </w:p>
        </w:tc>
        <w:tc>
          <w:tcPr>
            <w:tcW w:w="1040" w:type="dxa"/>
            <w:vMerge/>
            <w:tcBorders>
              <w:top w:val="nil"/>
              <w:left w:val="single" w:sz="4" w:space="0" w:color="auto"/>
              <w:bottom w:val="single" w:sz="4" w:space="0" w:color="auto"/>
              <w:right w:val="single" w:sz="4" w:space="0" w:color="auto"/>
            </w:tcBorders>
            <w:vAlign w:val="center"/>
            <w:hideMark/>
          </w:tcPr>
          <w:p w14:paraId="54F0BF90"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32F1DA8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intermediate = 1.33 (0.95-1.82)      </w:t>
            </w:r>
            <w:r w:rsidRPr="00E85D55">
              <w:rPr>
                <w:rFonts w:ascii="Times New Roman" w:eastAsia="Times New Roman" w:hAnsi="Times New Roman"/>
                <w:color w:val="000000"/>
                <w:sz w:val="20"/>
                <w:szCs w:val="20"/>
                <w:lang w:val="en-GB" w:eastAsia="fr-FR"/>
              </w:rPr>
              <w:br/>
              <w:t xml:space="preserve">   high = 1.87 (1.39-2.50)</w:t>
            </w:r>
          </w:p>
        </w:tc>
      </w:tr>
      <w:tr w:rsidR="00EE4BF0" w:rsidRPr="00E85D55" w14:paraId="2DA35404" w14:textId="77777777" w:rsidTr="007D1DAE">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049643D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Schoufour, 2014, Netherlands</w:t>
            </w:r>
          </w:p>
        </w:tc>
        <w:tc>
          <w:tcPr>
            <w:tcW w:w="2360" w:type="dxa"/>
            <w:tcBorders>
              <w:top w:val="nil"/>
              <w:left w:val="nil"/>
              <w:bottom w:val="single" w:sz="4" w:space="0" w:color="auto"/>
              <w:right w:val="single" w:sz="4" w:space="0" w:color="auto"/>
            </w:tcBorders>
            <w:shd w:val="clear" w:color="auto" w:fill="auto"/>
            <w:vAlign w:val="center"/>
            <w:hideMark/>
          </w:tcPr>
          <w:p w14:paraId="13B4F2B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Frailty index based on 51 items</w:t>
            </w:r>
          </w:p>
        </w:tc>
        <w:tc>
          <w:tcPr>
            <w:tcW w:w="2160" w:type="dxa"/>
            <w:tcBorders>
              <w:top w:val="nil"/>
              <w:left w:val="nil"/>
              <w:bottom w:val="single" w:sz="4" w:space="0" w:color="auto"/>
              <w:right w:val="single" w:sz="4" w:space="0" w:color="auto"/>
            </w:tcBorders>
            <w:shd w:val="clear" w:color="auto" w:fill="auto"/>
            <w:vAlign w:val="center"/>
            <w:hideMark/>
          </w:tcPr>
          <w:p w14:paraId="1FCFE9A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continuous score (between 0 and 1)</w:t>
            </w:r>
          </w:p>
        </w:tc>
        <w:tc>
          <w:tcPr>
            <w:tcW w:w="2360" w:type="dxa"/>
            <w:tcBorders>
              <w:top w:val="nil"/>
              <w:left w:val="nil"/>
              <w:bottom w:val="single" w:sz="4" w:space="0" w:color="auto"/>
              <w:right w:val="single" w:sz="4" w:space="0" w:color="auto"/>
            </w:tcBorders>
            <w:shd w:val="clear" w:color="auto" w:fill="auto"/>
            <w:vAlign w:val="center"/>
            <w:hideMark/>
          </w:tcPr>
          <w:p w14:paraId="0643E56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increase in LTC intensity (expenses based on hours of care) after 3 years</w:t>
            </w:r>
          </w:p>
        </w:tc>
        <w:tc>
          <w:tcPr>
            <w:tcW w:w="2680" w:type="dxa"/>
            <w:tcBorders>
              <w:top w:val="nil"/>
              <w:left w:val="nil"/>
              <w:bottom w:val="single" w:sz="4" w:space="0" w:color="auto"/>
              <w:right w:val="single" w:sz="4" w:space="0" w:color="auto"/>
            </w:tcBorders>
            <w:shd w:val="clear" w:color="auto" w:fill="auto"/>
            <w:vAlign w:val="center"/>
            <w:hideMark/>
          </w:tcPr>
          <w:p w14:paraId="75C4F85C" w14:textId="77777777" w:rsidR="00EE4BF0" w:rsidRPr="00E85D55" w:rsidRDefault="00EE4BF0" w:rsidP="007D1DAE">
            <w:pPr>
              <w:spacing w:after="0" w:line="480" w:lineRule="auto"/>
              <w:jc w:val="center"/>
              <w:rPr>
                <w:rFonts w:ascii="Times New Roman" w:eastAsia="Times New Roman" w:hAnsi="Times New Roman"/>
                <w:sz w:val="20"/>
                <w:szCs w:val="20"/>
                <w:lang w:val="en-GB" w:eastAsia="fr-FR"/>
              </w:rPr>
            </w:pPr>
            <w:r w:rsidRPr="00E85D55">
              <w:rPr>
                <w:rFonts w:ascii="Times New Roman" w:eastAsia="Times New Roman" w:hAnsi="Times New Roman"/>
                <w:sz w:val="20"/>
                <w:szCs w:val="20"/>
                <w:lang w:val="en-GB" w:eastAsia="fr-FR"/>
              </w:rPr>
              <w:t>NA</w:t>
            </w:r>
          </w:p>
        </w:tc>
        <w:tc>
          <w:tcPr>
            <w:tcW w:w="1040" w:type="dxa"/>
            <w:tcBorders>
              <w:top w:val="nil"/>
              <w:left w:val="nil"/>
              <w:bottom w:val="single" w:sz="4" w:space="0" w:color="auto"/>
              <w:right w:val="single" w:sz="4" w:space="0" w:color="auto"/>
            </w:tcBorders>
            <w:shd w:val="clear" w:color="auto" w:fill="auto"/>
            <w:vAlign w:val="center"/>
            <w:hideMark/>
          </w:tcPr>
          <w:p w14:paraId="2078CDF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w:t>
            </w:r>
          </w:p>
        </w:tc>
        <w:tc>
          <w:tcPr>
            <w:tcW w:w="2600" w:type="dxa"/>
            <w:tcBorders>
              <w:top w:val="nil"/>
              <w:left w:val="nil"/>
              <w:bottom w:val="single" w:sz="4" w:space="0" w:color="auto"/>
              <w:right w:val="single" w:sz="4" w:space="0" w:color="auto"/>
            </w:tcBorders>
            <w:shd w:val="clear" w:color="auto" w:fill="auto"/>
            <w:vAlign w:val="center"/>
            <w:hideMark/>
          </w:tcPr>
          <w:p w14:paraId="55836AC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1.09***</w:t>
            </w:r>
          </w:p>
        </w:tc>
      </w:tr>
      <w:tr w:rsidR="00EE4BF0" w:rsidRPr="00646ABB" w14:paraId="597DF024" w14:textId="77777777" w:rsidTr="007D1DAE">
        <w:trPr>
          <w:trHeight w:val="168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6DDAF87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Hirani, 2015, Australia</w:t>
            </w:r>
          </w:p>
        </w:tc>
        <w:tc>
          <w:tcPr>
            <w:tcW w:w="2360" w:type="dxa"/>
            <w:tcBorders>
              <w:top w:val="nil"/>
              <w:left w:val="nil"/>
              <w:bottom w:val="single" w:sz="4" w:space="0" w:color="auto"/>
              <w:right w:val="single" w:sz="4" w:space="0" w:color="auto"/>
            </w:tcBorders>
            <w:shd w:val="clear" w:color="auto" w:fill="auto"/>
            <w:vAlign w:val="center"/>
            <w:hideMark/>
          </w:tcPr>
          <w:p w14:paraId="047BC7D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Appendicu</w:t>
            </w:r>
            <w:r>
              <w:rPr>
                <w:rFonts w:ascii="Times New Roman" w:eastAsia="Times New Roman" w:hAnsi="Times New Roman"/>
                <w:color w:val="000000"/>
                <w:sz w:val="20"/>
                <w:szCs w:val="20"/>
                <w:lang w:val="en-GB" w:eastAsia="fr-FR"/>
              </w:rPr>
              <w:t>lar</w:t>
            </w:r>
            <w:r w:rsidRPr="00E85D55">
              <w:rPr>
                <w:rFonts w:ascii="Times New Roman" w:eastAsia="Times New Roman" w:hAnsi="Times New Roman"/>
                <w:color w:val="000000"/>
                <w:sz w:val="20"/>
                <w:szCs w:val="20"/>
                <w:lang w:val="en-GB" w:eastAsia="fr-FR"/>
              </w:rPr>
              <w:t xml:space="preserve"> lean mass (ALM) </w:t>
            </w:r>
            <w:r w:rsidRPr="00E85D55">
              <w:rPr>
                <w:rFonts w:ascii="Times New Roman" w:eastAsia="Times New Roman" w:hAnsi="Times New Roman"/>
                <w:color w:val="000000"/>
                <w:sz w:val="20"/>
                <w:szCs w:val="20"/>
                <w:lang w:val="en-GB" w:eastAsia="fr-FR"/>
              </w:rPr>
              <w:br/>
              <w:t>Weakness</w:t>
            </w:r>
            <w:r w:rsidRPr="00E85D55">
              <w:rPr>
                <w:rFonts w:ascii="Times New Roman" w:eastAsia="Times New Roman" w:hAnsi="Times New Roman"/>
                <w:color w:val="000000"/>
                <w:sz w:val="20"/>
                <w:szCs w:val="20"/>
                <w:lang w:val="en-GB" w:eastAsia="fr-FR"/>
              </w:rPr>
              <w:br/>
              <w:t>Grait speed</w:t>
            </w:r>
          </w:p>
        </w:tc>
        <w:tc>
          <w:tcPr>
            <w:tcW w:w="2160" w:type="dxa"/>
            <w:tcBorders>
              <w:top w:val="nil"/>
              <w:left w:val="nil"/>
              <w:bottom w:val="single" w:sz="4" w:space="0" w:color="auto"/>
              <w:right w:val="single" w:sz="4" w:space="0" w:color="auto"/>
            </w:tcBorders>
            <w:shd w:val="clear" w:color="auto" w:fill="auto"/>
            <w:vAlign w:val="center"/>
            <w:hideMark/>
          </w:tcPr>
          <w:p w14:paraId="1BAEB42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sz w:val="20"/>
                <w:szCs w:val="20"/>
                <w:lang w:val="en-GB" w:eastAsia="fr-FR"/>
              </w:rPr>
              <w:t>[REF]: no sarcopenia</w:t>
            </w:r>
            <w:r w:rsidRPr="00E85D55">
              <w:rPr>
                <w:rFonts w:ascii="Times New Roman" w:eastAsia="Times New Roman" w:hAnsi="Times New Roman"/>
                <w:color w:val="000000"/>
                <w:sz w:val="20"/>
                <w:szCs w:val="20"/>
                <w:lang w:val="en-GB" w:eastAsia="fr-FR"/>
              </w:rPr>
              <w:br/>
              <w:t>Sarcopenia I = low ALM Sarcopenia II = low ALM + weakness</w:t>
            </w:r>
            <w:r w:rsidRPr="00E85D55">
              <w:rPr>
                <w:rFonts w:ascii="Times New Roman" w:eastAsia="Times New Roman" w:hAnsi="Times New Roman"/>
                <w:color w:val="000000"/>
                <w:sz w:val="20"/>
                <w:szCs w:val="20"/>
                <w:lang w:val="en-GB" w:eastAsia="fr-FR"/>
              </w:rPr>
              <w:br/>
              <w:t>Sarcopenia III = low ALM + weakness + poor gait speed</w:t>
            </w:r>
          </w:p>
        </w:tc>
        <w:tc>
          <w:tcPr>
            <w:tcW w:w="2360" w:type="dxa"/>
            <w:tcBorders>
              <w:top w:val="nil"/>
              <w:left w:val="nil"/>
              <w:bottom w:val="single" w:sz="4" w:space="0" w:color="auto"/>
              <w:right w:val="single" w:sz="4" w:space="0" w:color="auto"/>
            </w:tcBorders>
            <w:shd w:val="clear" w:color="auto" w:fill="auto"/>
            <w:vAlign w:val="center"/>
            <w:hideMark/>
          </w:tcPr>
          <w:p w14:paraId="18426B0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NH placement (0/1)</w:t>
            </w:r>
          </w:p>
        </w:tc>
        <w:tc>
          <w:tcPr>
            <w:tcW w:w="2680" w:type="dxa"/>
            <w:tcBorders>
              <w:top w:val="nil"/>
              <w:left w:val="nil"/>
              <w:bottom w:val="single" w:sz="4" w:space="0" w:color="auto"/>
              <w:right w:val="single" w:sz="4" w:space="0" w:color="auto"/>
            </w:tcBorders>
            <w:shd w:val="clear" w:color="auto" w:fill="auto"/>
            <w:vAlign w:val="center"/>
            <w:hideMark/>
          </w:tcPr>
          <w:p w14:paraId="4711A99D" w14:textId="77777777" w:rsidR="00EE4BF0" w:rsidRPr="001D1CDD" w:rsidRDefault="00EE4BF0" w:rsidP="007D1DAE">
            <w:pPr>
              <w:spacing w:after="0" w:line="480" w:lineRule="auto"/>
              <w:jc w:val="center"/>
              <w:rPr>
                <w:rFonts w:ascii="Times New Roman" w:eastAsia="Times New Roman" w:hAnsi="Times New Roman"/>
                <w:color w:val="000000"/>
                <w:sz w:val="20"/>
                <w:szCs w:val="20"/>
                <w:lang w:val="en-GB" w:eastAsia="fr-FR"/>
              </w:rPr>
            </w:pPr>
            <w:r w:rsidRPr="001D1CDD">
              <w:rPr>
                <w:rFonts w:ascii="Times New Roman" w:eastAsia="Times New Roman" w:hAnsi="Times New Roman"/>
                <w:color w:val="000000"/>
                <w:sz w:val="20"/>
                <w:szCs w:val="20"/>
                <w:lang w:val="en-GB" w:eastAsia="fr-FR"/>
              </w:rPr>
              <w:t>Sarcopenia I = 2.17 (1.41-3.36)       Sarcopenia II =2.64 (1.44-4.86)    Sarcopenia III = 2.57 (1.29-5.13)</w:t>
            </w:r>
          </w:p>
        </w:tc>
        <w:tc>
          <w:tcPr>
            <w:tcW w:w="1040" w:type="dxa"/>
            <w:tcBorders>
              <w:top w:val="nil"/>
              <w:left w:val="nil"/>
              <w:bottom w:val="single" w:sz="4" w:space="0" w:color="auto"/>
              <w:right w:val="single" w:sz="4" w:space="0" w:color="auto"/>
            </w:tcBorders>
            <w:shd w:val="clear" w:color="auto" w:fill="auto"/>
            <w:vAlign w:val="center"/>
            <w:hideMark/>
          </w:tcPr>
          <w:p w14:paraId="0BA4C85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HR</w:t>
            </w:r>
          </w:p>
        </w:tc>
        <w:tc>
          <w:tcPr>
            <w:tcW w:w="2600" w:type="dxa"/>
            <w:tcBorders>
              <w:top w:val="nil"/>
              <w:left w:val="nil"/>
              <w:bottom w:val="single" w:sz="4" w:space="0" w:color="auto"/>
              <w:right w:val="single" w:sz="4" w:space="0" w:color="auto"/>
            </w:tcBorders>
            <w:shd w:val="clear" w:color="auto" w:fill="auto"/>
            <w:vAlign w:val="center"/>
            <w:hideMark/>
          </w:tcPr>
          <w:p w14:paraId="4BA6CFC7" w14:textId="77777777" w:rsidR="00EE4BF0" w:rsidRPr="001D1CDD" w:rsidRDefault="00EE4BF0" w:rsidP="007D1DAE">
            <w:pPr>
              <w:spacing w:after="0" w:line="480" w:lineRule="auto"/>
              <w:jc w:val="center"/>
              <w:rPr>
                <w:rFonts w:ascii="Times New Roman" w:eastAsia="Times New Roman" w:hAnsi="Times New Roman"/>
                <w:color w:val="000000"/>
                <w:sz w:val="20"/>
                <w:szCs w:val="20"/>
                <w:lang w:val="en-GB" w:eastAsia="fr-FR"/>
              </w:rPr>
            </w:pPr>
            <w:r w:rsidRPr="001D1CDD">
              <w:rPr>
                <w:rFonts w:ascii="Times New Roman" w:eastAsia="Times New Roman" w:hAnsi="Times New Roman"/>
                <w:color w:val="000000"/>
                <w:sz w:val="20"/>
                <w:szCs w:val="20"/>
                <w:lang w:val="en-GB" w:eastAsia="fr-FR"/>
              </w:rPr>
              <w:t xml:space="preserve">Sarcopenia I = 1.96 (1.14-3.35)   </w:t>
            </w:r>
            <w:r w:rsidRPr="001D1CDD">
              <w:rPr>
                <w:rFonts w:ascii="Times New Roman" w:eastAsia="Times New Roman" w:hAnsi="Times New Roman"/>
                <w:color w:val="000000"/>
                <w:sz w:val="20"/>
                <w:szCs w:val="20"/>
                <w:lang w:val="en-GB" w:eastAsia="fr-FR"/>
              </w:rPr>
              <w:br/>
              <w:t xml:space="preserve">    Sarcopenia II =2.53 (1.31-4.90)  </w:t>
            </w:r>
            <w:r w:rsidRPr="001D1CDD">
              <w:rPr>
                <w:rFonts w:ascii="Times New Roman" w:eastAsia="Times New Roman" w:hAnsi="Times New Roman"/>
                <w:color w:val="000000"/>
                <w:sz w:val="20"/>
                <w:szCs w:val="20"/>
                <w:lang w:val="en-GB" w:eastAsia="fr-FR"/>
              </w:rPr>
              <w:br/>
              <w:t xml:space="preserve">  Sarcopenia III = 2.27 (1.08-4.80)</w:t>
            </w:r>
          </w:p>
        </w:tc>
      </w:tr>
      <w:tr w:rsidR="00EE4BF0" w:rsidRPr="00E85D55" w14:paraId="3C4B6449" w14:textId="77777777" w:rsidTr="007D1DAE">
        <w:trPr>
          <w:trHeight w:val="720"/>
        </w:trPr>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4F726FA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Bentur, 2016, Israël</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14:paraId="7432BDB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Vulnerable Elders Survey (13 items screening tool - </w:t>
            </w:r>
            <w:r w:rsidRPr="00E85D55">
              <w:rPr>
                <w:rFonts w:ascii="Times New Roman" w:eastAsia="Times New Roman" w:hAnsi="Times New Roman"/>
                <w:color w:val="000000"/>
                <w:sz w:val="20"/>
                <w:szCs w:val="20"/>
                <w:lang w:val="en-GB" w:eastAsia="fr-FR"/>
              </w:rPr>
              <w:lastRenderedPageBreak/>
              <w:t>VES-13). Analysis of frailty transitions</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59A6454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lastRenderedPageBreak/>
              <w:t>Robust [REF]</w:t>
            </w:r>
            <w:r w:rsidRPr="00E85D55">
              <w:rPr>
                <w:rFonts w:ascii="Times New Roman" w:eastAsia="Times New Roman" w:hAnsi="Times New Roman"/>
                <w:color w:val="000000"/>
                <w:sz w:val="20"/>
                <w:szCs w:val="20"/>
                <w:lang w:val="en-GB" w:eastAsia="fr-FR"/>
              </w:rPr>
              <w:br/>
              <w:t>Transition</w:t>
            </w:r>
            <w:r w:rsidRPr="00E85D55">
              <w:rPr>
                <w:rFonts w:ascii="Times New Roman" w:eastAsia="Times New Roman" w:hAnsi="Times New Roman"/>
                <w:color w:val="000000"/>
                <w:sz w:val="20"/>
                <w:szCs w:val="20"/>
                <w:lang w:val="en-GB" w:eastAsia="fr-FR"/>
              </w:rPr>
              <w:br/>
            </w:r>
            <w:r w:rsidRPr="00E85D55">
              <w:rPr>
                <w:rFonts w:ascii="Times New Roman" w:eastAsia="Times New Roman" w:hAnsi="Times New Roman"/>
                <w:color w:val="000000"/>
                <w:sz w:val="20"/>
                <w:szCs w:val="20"/>
                <w:lang w:val="en-GB" w:eastAsia="fr-FR"/>
              </w:rPr>
              <w:lastRenderedPageBreak/>
              <w:t>Frail</w:t>
            </w:r>
            <w:r w:rsidRPr="00E85D55">
              <w:rPr>
                <w:rFonts w:ascii="Times New Roman" w:eastAsia="Times New Roman" w:hAnsi="Times New Roman"/>
                <w:color w:val="000000"/>
                <w:sz w:val="20"/>
                <w:szCs w:val="20"/>
                <w:lang w:val="en-GB" w:eastAsia="fr-FR"/>
              </w:rPr>
              <w:br/>
              <w:t>More frail</w:t>
            </w:r>
          </w:p>
        </w:tc>
        <w:tc>
          <w:tcPr>
            <w:tcW w:w="2360" w:type="dxa"/>
            <w:tcBorders>
              <w:top w:val="nil"/>
              <w:left w:val="nil"/>
              <w:bottom w:val="single" w:sz="4" w:space="0" w:color="auto"/>
              <w:right w:val="single" w:sz="4" w:space="0" w:color="auto"/>
            </w:tcBorders>
            <w:shd w:val="clear" w:color="auto" w:fill="auto"/>
            <w:vAlign w:val="center"/>
            <w:hideMark/>
          </w:tcPr>
          <w:p w14:paraId="5ABD204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lastRenderedPageBreak/>
              <w:t>Requires help on a regular basis  (0/1)</w:t>
            </w:r>
          </w:p>
        </w:tc>
        <w:tc>
          <w:tcPr>
            <w:tcW w:w="2680" w:type="dxa"/>
            <w:tcBorders>
              <w:top w:val="nil"/>
              <w:left w:val="nil"/>
              <w:bottom w:val="single" w:sz="4" w:space="0" w:color="auto"/>
              <w:right w:val="single" w:sz="4" w:space="0" w:color="auto"/>
            </w:tcBorders>
            <w:shd w:val="clear" w:color="auto" w:fill="auto"/>
            <w:vAlign w:val="center"/>
            <w:hideMark/>
          </w:tcPr>
          <w:p w14:paraId="248CB31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Transition = 13.9 (3.6-49.6) </w:t>
            </w:r>
            <w:r w:rsidRPr="00E85D55">
              <w:rPr>
                <w:rFonts w:ascii="Times New Roman" w:eastAsia="Times New Roman" w:hAnsi="Times New Roman"/>
                <w:color w:val="000000"/>
                <w:sz w:val="20"/>
                <w:szCs w:val="20"/>
                <w:lang w:val="en-GB" w:eastAsia="fr-FR"/>
              </w:rPr>
              <w:br/>
              <w:t xml:space="preserve">Frail = 17.6 (4.9-63.3) </w:t>
            </w:r>
            <w:r w:rsidRPr="00E85D55">
              <w:rPr>
                <w:rFonts w:ascii="Times New Roman" w:eastAsia="Times New Roman" w:hAnsi="Times New Roman"/>
                <w:color w:val="000000"/>
                <w:sz w:val="20"/>
                <w:szCs w:val="20"/>
                <w:lang w:val="en-GB" w:eastAsia="fr-FR"/>
              </w:rPr>
              <w:br/>
              <w:t>More frail = 39.7 (11.5-137.1)</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44C03F8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OR</w:t>
            </w:r>
          </w:p>
        </w:tc>
        <w:tc>
          <w:tcPr>
            <w:tcW w:w="2600" w:type="dxa"/>
            <w:tcBorders>
              <w:top w:val="nil"/>
              <w:left w:val="nil"/>
              <w:bottom w:val="single" w:sz="4" w:space="0" w:color="auto"/>
              <w:right w:val="single" w:sz="4" w:space="0" w:color="auto"/>
            </w:tcBorders>
            <w:shd w:val="clear" w:color="auto" w:fill="auto"/>
            <w:vAlign w:val="center"/>
            <w:hideMark/>
          </w:tcPr>
          <w:p w14:paraId="1E519EF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none</w:t>
            </w:r>
          </w:p>
        </w:tc>
      </w:tr>
      <w:tr w:rsidR="00EE4BF0" w:rsidRPr="00E85D55" w14:paraId="456375B7" w14:textId="77777777" w:rsidTr="007D1DAE">
        <w:trPr>
          <w:trHeight w:val="720"/>
        </w:trPr>
        <w:tc>
          <w:tcPr>
            <w:tcW w:w="1640" w:type="dxa"/>
            <w:vMerge/>
            <w:tcBorders>
              <w:top w:val="nil"/>
              <w:left w:val="single" w:sz="4" w:space="0" w:color="auto"/>
              <w:bottom w:val="single" w:sz="4" w:space="0" w:color="auto"/>
              <w:right w:val="single" w:sz="4" w:space="0" w:color="auto"/>
            </w:tcBorders>
            <w:vAlign w:val="center"/>
            <w:hideMark/>
          </w:tcPr>
          <w:p w14:paraId="33530B1A"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13DDC255"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160" w:type="dxa"/>
            <w:vMerge/>
            <w:tcBorders>
              <w:top w:val="nil"/>
              <w:left w:val="single" w:sz="4" w:space="0" w:color="auto"/>
              <w:bottom w:val="single" w:sz="4" w:space="0" w:color="auto"/>
              <w:right w:val="single" w:sz="4" w:space="0" w:color="auto"/>
            </w:tcBorders>
            <w:vAlign w:val="center"/>
            <w:hideMark/>
          </w:tcPr>
          <w:p w14:paraId="3D750135"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4CBC2F4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Has a formal caregiver  (0/1)</w:t>
            </w:r>
          </w:p>
        </w:tc>
        <w:tc>
          <w:tcPr>
            <w:tcW w:w="2680" w:type="dxa"/>
            <w:tcBorders>
              <w:top w:val="nil"/>
              <w:left w:val="nil"/>
              <w:bottom w:val="single" w:sz="4" w:space="0" w:color="auto"/>
              <w:right w:val="single" w:sz="4" w:space="0" w:color="auto"/>
            </w:tcBorders>
            <w:shd w:val="clear" w:color="auto" w:fill="auto"/>
            <w:vAlign w:val="center"/>
            <w:hideMark/>
          </w:tcPr>
          <w:p w14:paraId="6A6EE5F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Transition = 10.5 (2.9-37.5) </w:t>
            </w:r>
            <w:r w:rsidRPr="00E85D55">
              <w:rPr>
                <w:rFonts w:ascii="Times New Roman" w:eastAsia="Times New Roman" w:hAnsi="Times New Roman"/>
                <w:color w:val="000000"/>
                <w:sz w:val="20"/>
                <w:szCs w:val="20"/>
                <w:lang w:val="en-GB" w:eastAsia="fr-FR"/>
              </w:rPr>
              <w:br/>
              <w:t>Frail = 17.3 (4.7-63.6)</w:t>
            </w:r>
            <w:r w:rsidRPr="00E85D55">
              <w:rPr>
                <w:rFonts w:ascii="Times New Roman" w:eastAsia="Times New Roman" w:hAnsi="Times New Roman"/>
                <w:color w:val="000000"/>
                <w:sz w:val="20"/>
                <w:szCs w:val="20"/>
                <w:lang w:val="en-GB" w:eastAsia="fr-FR"/>
              </w:rPr>
              <w:br/>
              <w:t>More frail  = 31.9 (9.2-110.5)</w:t>
            </w:r>
          </w:p>
        </w:tc>
        <w:tc>
          <w:tcPr>
            <w:tcW w:w="1040" w:type="dxa"/>
            <w:vMerge/>
            <w:tcBorders>
              <w:top w:val="nil"/>
              <w:left w:val="single" w:sz="4" w:space="0" w:color="auto"/>
              <w:bottom w:val="single" w:sz="4" w:space="0" w:color="000000"/>
              <w:right w:val="single" w:sz="4" w:space="0" w:color="auto"/>
            </w:tcBorders>
            <w:vAlign w:val="center"/>
            <w:hideMark/>
          </w:tcPr>
          <w:p w14:paraId="3B797539"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3D92D78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none</w:t>
            </w:r>
          </w:p>
        </w:tc>
      </w:tr>
      <w:tr w:rsidR="00EE4BF0" w:rsidRPr="00E85D55" w14:paraId="5428E0C9" w14:textId="77777777" w:rsidTr="007D1DAE">
        <w:trPr>
          <w:trHeight w:val="720"/>
        </w:trPr>
        <w:tc>
          <w:tcPr>
            <w:tcW w:w="1640" w:type="dxa"/>
            <w:vMerge/>
            <w:tcBorders>
              <w:top w:val="nil"/>
              <w:left w:val="single" w:sz="4" w:space="0" w:color="auto"/>
              <w:bottom w:val="single" w:sz="4" w:space="0" w:color="auto"/>
              <w:right w:val="single" w:sz="4" w:space="0" w:color="auto"/>
            </w:tcBorders>
            <w:vAlign w:val="center"/>
            <w:hideMark/>
          </w:tcPr>
          <w:p w14:paraId="13A7CA3F"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2706816B"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160" w:type="dxa"/>
            <w:vMerge/>
            <w:tcBorders>
              <w:top w:val="nil"/>
              <w:left w:val="single" w:sz="4" w:space="0" w:color="auto"/>
              <w:bottom w:val="single" w:sz="4" w:space="0" w:color="auto"/>
              <w:right w:val="single" w:sz="4" w:space="0" w:color="auto"/>
            </w:tcBorders>
            <w:vAlign w:val="center"/>
            <w:hideMark/>
          </w:tcPr>
          <w:p w14:paraId="3F9FB7FE"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6D62681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Home care  (0/1)</w:t>
            </w:r>
          </w:p>
        </w:tc>
        <w:tc>
          <w:tcPr>
            <w:tcW w:w="2680" w:type="dxa"/>
            <w:tcBorders>
              <w:top w:val="nil"/>
              <w:left w:val="nil"/>
              <w:bottom w:val="single" w:sz="4" w:space="0" w:color="auto"/>
              <w:right w:val="single" w:sz="4" w:space="0" w:color="auto"/>
            </w:tcBorders>
            <w:shd w:val="clear" w:color="auto" w:fill="auto"/>
            <w:vAlign w:val="center"/>
            <w:hideMark/>
          </w:tcPr>
          <w:p w14:paraId="7340D60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Transition = 6.5 (1.4-30.6)       </w:t>
            </w:r>
            <w:r w:rsidRPr="00E85D55">
              <w:rPr>
                <w:rFonts w:ascii="Times New Roman" w:eastAsia="Times New Roman" w:hAnsi="Times New Roman"/>
                <w:color w:val="000000"/>
                <w:sz w:val="20"/>
                <w:szCs w:val="20"/>
                <w:lang w:val="en-GB" w:eastAsia="fr-FR"/>
              </w:rPr>
              <w:br/>
              <w:t xml:space="preserve">       Frail = 17.3 (3.8-77.9)      </w:t>
            </w:r>
            <w:r w:rsidRPr="00E85D55">
              <w:rPr>
                <w:rFonts w:ascii="Times New Roman" w:eastAsia="Times New Roman" w:hAnsi="Times New Roman"/>
                <w:color w:val="000000"/>
                <w:sz w:val="20"/>
                <w:szCs w:val="20"/>
                <w:lang w:val="en-GB" w:eastAsia="fr-FR"/>
              </w:rPr>
              <w:br/>
              <w:t xml:space="preserve">    More frail = 13.4 (3.1-58.2)</w:t>
            </w:r>
          </w:p>
        </w:tc>
        <w:tc>
          <w:tcPr>
            <w:tcW w:w="1040" w:type="dxa"/>
            <w:vMerge/>
            <w:tcBorders>
              <w:top w:val="nil"/>
              <w:left w:val="single" w:sz="4" w:space="0" w:color="auto"/>
              <w:bottom w:val="single" w:sz="4" w:space="0" w:color="000000"/>
              <w:right w:val="single" w:sz="4" w:space="0" w:color="auto"/>
            </w:tcBorders>
            <w:vAlign w:val="center"/>
            <w:hideMark/>
          </w:tcPr>
          <w:p w14:paraId="195FE56C"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0EF1251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none</w:t>
            </w:r>
          </w:p>
        </w:tc>
      </w:tr>
      <w:tr w:rsidR="00EE4BF0" w:rsidRPr="00E85D55" w14:paraId="3252BCBB" w14:textId="77777777" w:rsidTr="007D1DAE">
        <w:trPr>
          <w:trHeight w:val="144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3F445B6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Bock, 2016, Germany</w:t>
            </w:r>
          </w:p>
        </w:tc>
        <w:tc>
          <w:tcPr>
            <w:tcW w:w="2360" w:type="dxa"/>
            <w:tcBorders>
              <w:top w:val="nil"/>
              <w:left w:val="nil"/>
              <w:bottom w:val="single" w:sz="4" w:space="0" w:color="auto"/>
              <w:right w:val="single" w:sz="4" w:space="0" w:color="auto"/>
            </w:tcBorders>
            <w:shd w:val="clear" w:color="auto" w:fill="auto"/>
            <w:vAlign w:val="center"/>
            <w:hideMark/>
          </w:tcPr>
          <w:p w14:paraId="3C737D3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Fried criteria</w:t>
            </w:r>
          </w:p>
        </w:tc>
        <w:tc>
          <w:tcPr>
            <w:tcW w:w="2160" w:type="dxa"/>
            <w:tcBorders>
              <w:top w:val="nil"/>
              <w:left w:val="nil"/>
              <w:bottom w:val="single" w:sz="4" w:space="0" w:color="auto"/>
              <w:right w:val="single" w:sz="4" w:space="0" w:color="auto"/>
            </w:tcBorders>
            <w:shd w:val="clear" w:color="auto" w:fill="auto"/>
            <w:vAlign w:val="center"/>
            <w:hideMark/>
          </w:tcPr>
          <w:p w14:paraId="3596CDE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Robust (0 criteria) [REF]</w:t>
            </w:r>
            <w:r w:rsidRPr="00E85D55">
              <w:rPr>
                <w:rFonts w:ascii="Times New Roman" w:eastAsia="Times New Roman" w:hAnsi="Times New Roman"/>
                <w:color w:val="000000"/>
                <w:sz w:val="20"/>
                <w:szCs w:val="20"/>
                <w:lang w:val="en-GB" w:eastAsia="fr-FR"/>
              </w:rPr>
              <w:br/>
              <w:t>Prefrail (1)</w:t>
            </w:r>
            <w:r w:rsidRPr="00E85D55">
              <w:rPr>
                <w:rFonts w:ascii="Times New Roman" w:eastAsia="Times New Roman" w:hAnsi="Times New Roman"/>
                <w:color w:val="000000"/>
                <w:sz w:val="20"/>
                <w:szCs w:val="20"/>
                <w:lang w:val="en-GB" w:eastAsia="fr-FR"/>
              </w:rPr>
              <w:br/>
              <w:t>Prefrail (2)</w:t>
            </w:r>
            <w:r w:rsidRPr="00E85D55">
              <w:rPr>
                <w:rFonts w:ascii="Times New Roman" w:eastAsia="Times New Roman" w:hAnsi="Times New Roman"/>
                <w:color w:val="000000"/>
                <w:sz w:val="20"/>
                <w:szCs w:val="20"/>
                <w:lang w:val="en-GB" w:eastAsia="fr-FR"/>
              </w:rPr>
              <w:br/>
              <w:t>Frail (3)</w:t>
            </w:r>
            <w:r w:rsidRPr="00E85D55">
              <w:rPr>
                <w:rFonts w:ascii="Times New Roman" w:eastAsia="Times New Roman" w:hAnsi="Times New Roman"/>
                <w:color w:val="000000"/>
                <w:sz w:val="20"/>
                <w:szCs w:val="20"/>
                <w:lang w:val="en-GB" w:eastAsia="fr-FR"/>
              </w:rPr>
              <w:br/>
              <w:t>Frail (4,5)</w:t>
            </w:r>
          </w:p>
        </w:tc>
        <w:tc>
          <w:tcPr>
            <w:tcW w:w="2360" w:type="dxa"/>
            <w:tcBorders>
              <w:top w:val="nil"/>
              <w:left w:val="nil"/>
              <w:bottom w:val="single" w:sz="4" w:space="0" w:color="auto"/>
              <w:right w:val="single" w:sz="4" w:space="0" w:color="auto"/>
            </w:tcBorders>
            <w:shd w:val="clear" w:color="auto" w:fill="auto"/>
            <w:vAlign w:val="center"/>
            <w:hideMark/>
          </w:tcPr>
          <w:p w14:paraId="75657EC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Nursing care costs (home and institution, not permanent)  (0/1)</w:t>
            </w:r>
          </w:p>
        </w:tc>
        <w:tc>
          <w:tcPr>
            <w:tcW w:w="2680" w:type="dxa"/>
            <w:tcBorders>
              <w:top w:val="nil"/>
              <w:left w:val="nil"/>
              <w:bottom w:val="single" w:sz="4" w:space="0" w:color="auto"/>
              <w:right w:val="single" w:sz="4" w:space="0" w:color="auto"/>
            </w:tcBorders>
            <w:shd w:val="clear" w:color="auto" w:fill="auto"/>
            <w:vAlign w:val="center"/>
            <w:hideMark/>
          </w:tcPr>
          <w:p w14:paraId="51BDF8D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Prefrail (1) = 12.74 (10.35)</w:t>
            </w:r>
            <w:r w:rsidRPr="00E85D55">
              <w:rPr>
                <w:rFonts w:ascii="Times New Roman" w:eastAsia="Times New Roman" w:hAnsi="Times New Roman"/>
                <w:color w:val="000000"/>
                <w:sz w:val="20"/>
                <w:szCs w:val="20"/>
                <w:lang w:val="en-GB" w:eastAsia="fr-FR"/>
              </w:rPr>
              <w:br/>
              <w:t xml:space="preserve">Prefrail (2) = 8.31 (5.86) </w:t>
            </w:r>
            <w:r w:rsidRPr="00E85D55">
              <w:rPr>
                <w:rFonts w:ascii="Times New Roman" w:eastAsia="Times New Roman" w:hAnsi="Times New Roman"/>
                <w:color w:val="000000"/>
                <w:sz w:val="20"/>
                <w:szCs w:val="20"/>
                <w:lang w:val="en-GB" w:eastAsia="fr-FR"/>
              </w:rPr>
              <w:br/>
              <w:t xml:space="preserve"> Frail (3) = 76.96 (47.75)      </w:t>
            </w:r>
            <w:r w:rsidRPr="00E85D55">
              <w:rPr>
                <w:rFonts w:ascii="Times New Roman" w:eastAsia="Times New Roman" w:hAnsi="Times New Roman"/>
                <w:color w:val="000000"/>
                <w:sz w:val="20"/>
                <w:szCs w:val="20"/>
                <w:lang w:val="en-GB" w:eastAsia="fr-FR"/>
              </w:rPr>
              <w:br/>
              <w:t xml:space="preserve">   Frail (4,5) = 334.93 (167.83)</w:t>
            </w:r>
          </w:p>
        </w:tc>
        <w:tc>
          <w:tcPr>
            <w:tcW w:w="1040" w:type="dxa"/>
            <w:tcBorders>
              <w:top w:val="nil"/>
              <w:left w:val="nil"/>
              <w:bottom w:val="single" w:sz="4" w:space="0" w:color="auto"/>
              <w:right w:val="single" w:sz="4" w:space="0" w:color="auto"/>
            </w:tcBorders>
            <w:shd w:val="clear" w:color="auto" w:fill="auto"/>
            <w:vAlign w:val="center"/>
            <w:hideMark/>
          </w:tcPr>
          <w:p w14:paraId="0000AB9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Marginal effect</w:t>
            </w:r>
          </w:p>
        </w:tc>
        <w:tc>
          <w:tcPr>
            <w:tcW w:w="2600" w:type="dxa"/>
            <w:tcBorders>
              <w:top w:val="nil"/>
              <w:left w:val="nil"/>
              <w:bottom w:val="single" w:sz="4" w:space="0" w:color="auto"/>
              <w:right w:val="single" w:sz="4" w:space="0" w:color="auto"/>
            </w:tcBorders>
            <w:shd w:val="clear" w:color="auto" w:fill="auto"/>
            <w:vAlign w:val="center"/>
            <w:hideMark/>
          </w:tcPr>
          <w:p w14:paraId="34C2DAD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Prefrail (1) = 10.14 (9.06)    </w:t>
            </w:r>
            <w:r w:rsidRPr="00E85D55">
              <w:rPr>
                <w:rFonts w:ascii="Times New Roman" w:eastAsia="Times New Roman" w:hAnsi="Times New Roman"/>
                <w:color w:val="000000"/>
                <w:sz w:val="20"/>
                <w:szCs w:val="20"/>
                <w:lang w:val="en-GB" w:eastAsia="fr-FR"/>
              </w:rPr>
              <w:br/>
              <w:t xml:space="preserve">       Prefrail (2) = 5.40 (4.81)  </w:t>
            </w:r>
            <w:r w:rsidRPr="00E85D55">
              <w:rPr>
                <w:rFonts w:ascii="Times New Roman" w:eastAsia="Times New Roman" w:hAnsi="Times New Roman"/>
                <w:color w:val="000000"/>
                <w:sz w:val="20"/>
                <w:szCs w:val="20"/>
                <w:lang w:val="en-GB" w:eastAsia="fr-FR"/>
              </w:rPr>
              <w:br/>
              <w:t xml:space="preserve">  Frail (3) =48.97 (33.38) </w:t>
            </w:r>
            <w:r w:rsidRPr="00E85D55">
              <w:rPr>
                <w:rFonts w:ascii="Times New Roman" w:eastAsia="Times New Roman" w:hAnsi="Times New Roman"/>
                <w:color w:val="000000"/>
                <w:sz w:val="20"/>
                <w:szCs w:val="20"/>
                <w:lang w:val="en-GB" w:eastAsia="fr-FR"/>
              </w:rPr>
              <w:br/>
              <w:t xml:space="preserve">      Frail (4,5) = 181.0 (109.49)</w:t>
            </w:r>
          </w:p>
        </w:tc>
      </w:tr>
      <w:tr w:rsidR="00EE4BF0" w:rsidRPr="00646ABB" w14:paraId="49C54BC6" w14:textId="77777777" w:rsidTr="007D1DAE">
        <w:trPr>
          <w:trHeight w:val="96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2B1F29E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Butler, 2016, Ireland</w:t>
            </w:r>
          </w:p>
        </w:tc>
        <w:tc>
          <w:tcPr>
            <w:tcW w:w="2360" w:type="dxa"/>
            <w:tcBorders>
              <w:top w:val="nil"/>
              <w:left w:val="nil"/>
              <w:bottom w:val="single" w:sz="4" w:space="0" w:color="auto"/>
              <w:right w:val="single" w:sz="4" w:space="0" w:color="auto"/>
            </w:tcBorders>
            <w:shd w:val="clear" w:color="auto" w:fill="auto"/>
            <w:vAlign w:val="center"/>
            <w:hideMark/>
          </w:tcPr>
          <w:p w14:paraId="65973FD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Fried criteria</w:t>
            </w:r>
          </w:p>
        </w:tc>
        <w:tc>
          <w:tcPr>
            <w:tcW w:w="2160" w:type="dxa"/>
            <w:tcBorders>
              <w:top w:val="nil"/>
              <w:left w:val="nil"/>
              <w:bottom w:val="single" w:sz="4" w:space="0" w:color="auto"/>
              <w:right w:val="single" w:sz="4" w:space="0" w:color="auto"/>
            </w:tcBorders>
            <w:shd w:val="clear" w:color="auto" w:fill="auto"/>
            <w:vAlign w:val="center"/>
            <w:hideMark/>
          </w:tcPr>
          <w:p w14:paraId="7678C21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Robust (0 criteria) [REF]</w:t>
            </w:r>
            <w:r w:rsidRPr="00E85D55">
              <w:rPr>
                <w:rFonts w:ascii="Times New Roman" w:eastAsia="Times New Roman" w:hAnsi="Times New Roman"/>
                <w:color w:val="000000"/>
                <w:sz w:val="20"/>
                <w:szCs w:val="20"/>
                <w:lang w:val="en-GB" w:eastAsia="fr-FR"/>
              </w:rPr>
              <w:br/>
              <w:t>Pre-frail (1-2)</w:t>
            </w:r>
            <w:r w:rsidRPr="00E85D55">
              <w:rPr>
                <w:rFonts w:ascii="Times New Roman" w:eastAsia="Times New Roman" w:hAnsi="Times New Roman"/>
                <w:color w:val="000000"/>
                <w:sz w:val="20"/>
                <w:szCs w:val="20"/>
                <w:lang w:val="en-GB" w:eastAsia="fr-FR"/>
              </w:rPr>
              <w:br/>
              <w:t>Frail (≥3)</w:t>
            </w:r>
          </w:p>
        </w:tc>
        <w:tc>
          <w:tcPr>
            <w:tcW w:w="2360" w:type="dxa"/>
            <w:tcBorders>
              <w:top w:val="nil"/>
              <w:left w:val="nil"/>
              <w:bottom w:val="single" w:sz="4" w:space="0" w:color="auto"/>
              <w:right w:val="single" w:sz="4" w:space="0" w:color="auto"/>
            </w:tcBorders>
            <w:shd w:val="clear" w:color="auto" w:fill="auto"/>
            <w:vAlign w:val="center"/>
            <w:hideMark/>
          </w:tcPr>
          <w:p w14:paraId="11B9F16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Informal caregving costs  (0/1)</w:t>
            </w:r>
          </w:p>
        </w:tc>
        <w:tc>
          <w:tcPr>
            <w:tcW w:w="2680" w:type="dxa"/>
            <w:tcBorders>
              <w:top w:val="nil"/>
              <w:left w:val="nil"/>
              <w:bottom w:val="single" w:sz="4" w:space="0" w:color="auto"/>
              <w:right w:val="single" w:sz="4" w:space="0" w:color="auto"/>
            </w:tcBorders>
            <w:shd w:val="clear" w:color="auto" w:fill="auto"/>
            <w:vAlign w:val="center"/>
            <w:hideMark/>
          </w:tcPr>
          <w:p w14:paraId="256EAD3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c>
          <w:tcPr>
            <w:tcW w:w="1040" w:type="dxa"/>
            <w:tcBorders>
              <w:top w:val="nil"/>
              <w:left w:val="nil"/>
              <w:bottom w:val="single" w:sz="4" w:space="0" w:color="auto"/>
              <w:right w:val="single" w:sz="4" w:space="0" w:color="auto"/>
            </w:tcBorders>
            <w:shd w:val="clear" w:color="auto" w:fill="auto"/>
            <w:vAlign w:val="center"/>
            <w:hideMark/>
          </w:tcPr>
          <w:p w14:paraId="21F73A8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w:t>
            </w:r>
          </w:p>
        </w:tc>
        <w:tc>
          <w:tcPr>
            <w:tcW w:w="2600" w:type="dxa"/>
            <w:tcBorders>
              <w:top w:val="nil"/>
              <w:left w:val="nil"/>
              <w:bottom w:val="single" w:sz="4" w:space="0" w:color="auto"/>
              <w:right w:val="single" w:sz="4" w:space="0" w:color="auto"/>
            </w:tcBorders>
            <w:shd w:val="clear" w:color="auto" w:fill="auto"/>
            <w:vAlign w:val="center"/>
            <w:hideMark/>
          </w:tcPr>
          <w:p w14:paraId="248CD49D" w14:textId="77777777" w:rsidR="00EE4BF0" w:rsidRPr="001D1CDD" w:rsidRDefault="00EE4BF0" w:rsidP="007D1DAE">
            <w:pPr>
              <w:spacing w:after="0" w:line="480" w:lineRule="auto"/>
              <w:jc w:val="center"/>
              <w:rPr>
                <w:rFonts w:ascii="Times New Roman" w:eastAsia="Times New Roman" w:hAnsi="Times New Roman"/>
                <w:color w:val="000000"/>
                <w:sz w:val="20"/>
                <w:szCs w:val="20"/>
                <w:lang w:val="en-GB" w:eastAsia="fr-FR"/>
              </w:rPr>
            </w:pPr>
            <w:r w:rsidRPr="001D1CDD">
              <w:rPr>
                <w:rFonts w:ascii="Times New Roman" w:eastAsia="Times New Roman" w:hAnsi="Times New Roman"/>
                <w:color w:val="000000"/>
                <w:sz w:val="20"/>
                <w:szCs w:val="20"/>
                <w:lang w:val="en-GB" w:eastAsia="fr-FR"/>
              </w:rPr>
              <w:t>Frail 0.361 (p&lt;0.0001) ; no CI</w:t>
            </w:r>
            <w:r w:rsidRPr="001D1CDD">
              <w:rPr>
                <w:rFonts w:ascii="Times New Roman" w:eastAsia="Times New Roman" w:hAnsi="Times New Roman"/>
                <w:color w:val="000000"/>
                <w:sz w:val="20"/>
                <w:szCs w:val="20"/>
                <w:lang w:val="en-GB" w:eastAsia="fr-FR"/>
              </w:rPr>
              <w:br/>
              <w:t>REF: robust</w:t>
            </w:r>
          </w:p>
        </w:tc>
      </w:tr>
      <w:tr w:rsidR="00EE4BF0" w:rsidRPr="00E85D55" w14:paraId="309B7F07" w14:textId="77777777" w:rsidTr="007D1DAE">
        <w:trPr>
          <w:trHeight w:val="480"/>
        </w:trPr>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30F8C25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Campitelli, 2016, Canda</w:t>
            </w:r>
          </w:p>
        </w:tc>
        <w:tc>
          <w:tcPr>
            <w:tcW w:w="2360" w:type="dxa"/>
            <w:tcBorders>
              <w:top w:val="nil"/>
              <w:left w:val="nil"/>
              <w:bottom w:val="single" w:sz="4" w:space="0" w:color="auto"/>
              <w:right w:val="single" w:sz="4" w:space="0" w:color="auto"/>
            </w:tcBorders>
            <w:shd w:val="clear" w:color="auto" w:fill="auto"/>
            <w:vAlign w:val="center"/>
            <w:hideMark/>
          </w:tcPr>
          <w:p w14:paraId="52458F6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Full FI, 83 items (Hogan et al) &gt; 72 items in the data</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519A400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Robust (FI &lt; 0.2) [REF]</w:t>
            </w:r>
            <w:r w:rsidRPr="00E85D55">
              <w:rPr>
                <w:rFonts w:ascii="Times New Roman" w:eastAsia="Times New Roman" w:hAnsi="Times New Roman"/>
                <w:color w:val="000000"/>
                <w:sz w:val="20"/>
                <w:szCs w:val="20"/>
                <w:lang w:val="en-GB" w:eastAsia="fr-FR"/>
              </w:rPr>
              <w:br/>
              <w:t>Pre-frail (0.2 &lt;= FI &lt;= 0.3)</w:t>
            </w:r>
            <w:r w:rsidRPr="00E85D55">
              <w:rPr>
                <w:rFonts w:ascii="Times New Roman" w:eastAsia="Times New Roman" w:hAnsi="Times New Roman"/>
                <w:color w:val="000000"/>
                <w:sz w:val="20"/>
                <w:szCs w:val="20"/>
                <w:lang w:val="en-GB" w:eastAsia="fr-FR"/>
              </w:rPr>
              <w:br/>
              <w:t>Frail (FI &gt; 0.3)</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14:paraId="2597F4F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NH placement (0/1)</w:t>
            </w:r>
          </w:p>
        </w:tc>
        <w:tc>
          <w:tcPr>
            <w:tcW w:w="2680" w:type="dxa"/>
            <w:tcBorders>
              <w:top w:val="nil"/>
              <w:left w:val="nil"/>
              <w:bottom w:val="single" w:sz="4" w:space="0" w:color="auto"/>
              <w:right w:val="single" w:sz="4" w:space="0" w:color="auto"/>
            </w:tcBorders>
            <w:shd w:val="clear" w:color="auto" w:fill="auto"/>
            <w:vAlign w:val="center"/>
            <w:hideMark/>
          </w:tcPr>
          <w:p w14:paraId="519D4AB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Pre-frail : 2.21 (2.16, 2.27)</w:t>
            </w:r>
            <w:r w:rsidRPr="00E85D55">
              <w:rPr>
                <w:rFonts w:ascii="Times New Roman" w:eastAsia="Times New Roman" w:hAnsi="Times New Roman"/>
                <w:color w:val="000000"/>
                <w:sz w:val="20"/>
                <w:szCs w:val="20"/>
                <w:lang w:val="en-GB" w:eastAsia="fr-FR"/>
              </w:rPr>
              <w:br/>
              <w:t>Frail : 3.92 (3.83, 4.01)</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A486E6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RR</w:t>
            </w:r>
          </w:p>
        </w:tc>
        <w:tc>
          <w:tcPr>
            <w:tcW w:w="2600" w:type="dxa"/>
            <w:tcBorders>
              <w:top w:val="nil"/>
              <w:left w:val="nil"/>
              <w:bottom w:val="single" w:sz="4" w:space="0" w:color="auto"/>
              <w:right w:val="single" w:sz="4" w:space="0" w:color="auto"/>
            </w:tcBorders>
            <w:shd w:val="clear" w:color="auto" w:fill="auto"/>
            <w:vAlign w:val="center"/>
            <w:hideMark/>
          </w:tcPr>
          <w:p w14:paraId="67BF4A8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Pre-frail : 2.20 (2.15, 2.26)</w:t>
            </w:r>
            <w:r w:rsidRPr="00E85D55">
              <w:rPr>
                <w:rFonts w:ascii="Times New Roman" w:eastAsia="Times New Roman" w:hAnsi="Times New Roman"/>
                <w:color w:val="000000"/>
                <w:sz w:val="20"/>
                <w:szCs w:val="20"/>
                <w:lang w:val="en-GB" w:eastAsia="fr-FR"/>
              </w:rPr>
              <w:br/>
              <w:t>Frail : 3.84 (3.75, 3.93)</w:t>
            </w:r>
          </w:p>
        </w:tc>
      </w:tr>
      <w:tr w:rsidR="00EE4BF0" w:rsidRPr="00E85D55" w14:paraId="5DBBBF36" w14:textId="77777777" w:rsidTr="007D1DAE">
        <w:trPr>
          <w:trHeight w:val="720"/>
        </w:trPr>
        <w:tc>
          <w:tcPr>
            <w:tcW w:w="1640" w:type="dxa"/>
            <w:vMerge/>
            <w:tcBorders>
              <w:top w:val="nil"/>
              <w:left w:val="single" w:sz="4" w:space="0" w:color="auto"/>
              <w:bottom w:val="single" w:sz="4" w:space="0" w:color="auto"/>
              <w:right w:val="single" w:sz="4" w:space="0" w:color="auto"/>
            </w:tcBorders>
            <w:vAlign w:val="center"/>
            <w:hideMark/>
          </w:tcPr>
          <w:p w14:paraId="586502CA"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3628D1A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Modified FI, 50 items (Armstrong et al) &gt; 48 items in the data</w:t>
            </w:r>
          </w:p>
        </w:tc>
        <w:tc>
          <w:tcPr>
            <w:tcW w:w="2160" w:type="dxa"/>
            <w:vMerge/>
            <w:tcBorders>
              <w:top w:val="nil"/>
              <w:left w:val="single" w:sz="4" w:space="0" w:color="auto"/>
              <w:bottom w:val="single" w:sz="4" w:space="0" w:color="auto"/>
              <w:right w:val="single" w:sz="4" w:space="0" w:color="auto"/>
            </w:tcBorders>
            <w:vAlign w:val="center"/>
            <w:hideMark/>
          </w:tcPr>
          <w:p w14:paraId="56FFDE71"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310568AC"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80" w:type="dxa"/>
            <w:tcBorders>
              <w:top w:val="nil"/>
              <w:left w:val="nil"/>
              <w:bottom w:val="single" w:sz="4" w:space="0" w:color="auto"/>
              <w:right w:val="single" w:sz="4" w:space="0" w:color="auto"/>
            </w:tcBorders>
            <w:shd w:val="clear" w:color="auto" w:fill="auto"/>
            <w:vAlign w:val="center"/>
            <w:hideMark/>
          </w:tcPr>
          <w:p w14:paraId="378D5D3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Pre-frail : 2.13 (2.08, 2.19)</w:t>
            </w:r>
            <w:r w:rsidRPr="00E85D55">
              <w:rPr>
                <w:rFonts w:ascii="Times New Roman" w:eastAsia="Times New Roman" w:hAnsi="Times New Roman"/>
                <w:color w:val="000000"/>
                <w:sz w:val="20"/>
                <w:szCs w:val="20"/>
                <w:lang w:val="en-GB" w:eastAsia="fr-FR"/>
              </w:rPr>
              <w:br/>
              <w:t>Frail : 3.64 (3.55, 3.73)</w:t>
            </w:r>
          </w:p>
        </w:tc>
        <w:tc>
          <w:tcPr>
            <w:tcW w:w="1040" w:type="dxa"/>
            <w:vMerge/>
            <w:tcBorders>
              <w:top w:val="nil"/>
              <w:left w:val="single" w:sz="4" w:space="0" w:color="auto"/>
              <w:bottom w:val="single" w:sz="4" w:space="0" w:color="000000"/>
              <w:right w:val="single" w:sz="4" w:space="0" w:color="auto"/>
            </w:tcBorders>
            <w:vAlign w:val="center"/>
            <w:hideMark/>
          </w:tcPr>
          <w:p w14:paraId="453E9CF7"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0E18853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Pre-frail : 2.11 (2.05, 2.16)</w:t>
            </w:r>
            <w:r w:rsidRPr="00E85D55">
              <w:rPr>
                <w:rFonts w:ascii="Times New Roman" w:eastAsia="Times New Roman" w:hAnsi="Times New Roman"/>
                <w:color w:val="000000"/>
                <w:sz w:val="20"/>
                <w:szCs w:val="20"/>
                <w:lang w:val="en-GB" w:eastAsia="fr-FR"/>
              </w:rPr>
              <w:br/>
              <w:t>Frail : 3.58 (3.50, 3.67)</w:t>
            </w:r>
          </w:p>
        </w:tc>
      </w:tr>
      <w:tr w:rsidR="00EE4BF0" w:rsidRPr="00E85D55" w14:paraId="1AC1DD65" w14:textId="77777777" w:rsidTr="007D1DAE">
        <w:trPr>
          <w:trHeight w:val="1000"/>
        </w:trPr>
        <w:tc>
          <w:tcPr>
            <w:tcW w:w="1640" w:type="dxa"/>
            <w:vMerge/>
            <w:tcBorders>
              <w:top w:val="nil"/>
              <w:left w:val="single" w:sz="4" w:space="0" w:color="auto"/>
              <w:bottom w:val="single" w:sz="4" w:space="0" w:color="auto"/>
              <w:right w:val="single" w:sz="4" w:space="0" w:color="auto"/>
            </w:tcBorders>
            <w:vAlign w:val="center"/>
            <w:hideMark/>
          </w:tcPr>
          <w:p w14:paraId="06A35CDA"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442DCFB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CHESS scale</w:t>
            </w:r>
          </w:p>
        </w:tc>
        <w:tc>
          <w:tcPr>
            <w:tcW w:w="2160" w:type="dxa"/>
            <w:tcBorders>
              <w:top w:val="nil"/>
              <w:left w:val="nil"/>
              <w:bottom w:val="single" w:sz="4" w:space="0" w:color="auto"/>
              <w:right w:val="single" w:sz="4" w:space="0" w:color="auto"/>
            </w:tcBorders>
            <w:shd w:val="clear" w:color="auto" w:fill="auto"/>
            <w:vAlign w:val="center"/>
            <w:hideMark/>
          </w:tcPr>
          <w:p w14:paraId="2C85917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Robust (0 criteria) [REF]</w:t>
            </w:r>
            <w:r w:rsidRPr="00E85D55">
              <w:rPr>
                <w:rFonts w:ascii="Times New Roman" w:eastAsia="Times New Roman" w:hAnsi="Times New Roman"/>
                <w:color w:val="000000"/>
                <w:sz w:val="20"/>
                <w:szCs w:val="20"/>
                <w:lang w:val="en-GB" w:eastAsia="fr-FR"/>
              </w:rPr>
              <w:br/>
              <w:t>Pre-frail (1)</w:t>
            </w:r>
            <w:r w:rsidRPr="00E85D55">
              <w:rPr>
                <w:rFonts w:ascii="Times New Roman" w:eastAsia="Times New Roman" w:hAnsi="Times New Roman"/>
                <w:color w:val="000000"/>
                <w:sz w:val="20"/>
                <w:szCs w:val="20"/>
                <w:lang w:val="en-GB" w:eastAsia="fr-FR"/>
              </w:rPr>
              <w:br/>
              <w:t>Frail (≥ 2)</w:t>
            </w:r>
          </w:p>
        </w:tc>
        <w:tc>
          <w:tcPr>
            <w:tcW w:w="2360" w:type="dxa"/>
            <w:vMerge/>
            <w:tcBorders>
              <w:top w:val="nil"/>
              <w:left w:val="single" w:sz="4" w:space="0" w:color="auto"/>
              <w:bottom w:val="single" w:sz="4" w:space="0" w:color="auto"/>
              <w:right w:val="single" w:sz="4" w:space="0" w:color="auto"/>
            </w:tcBorders>
            <w:vAlign w:val="center"/>
            <w:hideMark/>
          </w:tcPr>
          <w:p w14:paraId="1B2B6099"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80" w:type="dxa"/>
            <w:tcBorders>
              <w:top w:val="nil"/>
              <w:left w:val="nil"/>
              <w:bottom w:val="single" w:sz="4" w:space="0" w:color="auto"/>
              <w:right w:val="single" w:sz="4" w:space="0" w:color="auto"/>
            </w:tcBorders>
            <w:shd w:val="clear" w:color="auto" w:fill="auto"/>
            <w:vAlign w:val="center"/>
            <w:hideMark/>
          </w:tcPr>
          <w:p w14:paraId="6A258E8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Pre-frail : 1.39 (1.35, 1.43)</w:t>
            </w:r>
            <w:r w:rsidRPr="00E85D55">
              <w:rPr>
                <w:rFonts w:ascii="Times New Roman" w:eastAsia="Times New Roman" w:hAnsi="Times New Roman"/>
                <w:color w:val="000000"/>
                <w:sz w:val="20"/>
                <w:szCs w:val="20"/>
                <w:lang w:val="en-GB" w:eastAsia="fr-FR"/>
              </w:rPr>
              <w:br/>
              <w:t>Frail : 1.96 (1.91, 2.02)</w:t>
            </w:r>
          </w:p>
        </w:tc>
        <w:tc>
          <w:tcPr>
            <w:tcW w:w="1040" w:type="dxa"/>
            <w:vMerge/>
            <w:tcBorders>
              <w:top w:val="nil"/>
              <w:left w:val="single" w:sz="4" w:space="0" w:color="auto"/>
              <w:bottom w:val="single" w:sz="4" w:space="0" w:color="000000"/>
              <w:right w:val="single" w:sz="4" w:space="0" w:color="auto"/>
            </w:tcBorders>
            <w:vAlign w:val="center"/>
            <w:hideMark/>
          </w:tcPr>
          <w:p w14:paraId="3DDA56D8"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7C4268F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Pre-frail : 1.40 (1.36, 1.44)</w:t>
            </w:r>
            <w:r w:rsidRPr="00E85D55">
              <w:rPr>
                <w:rFonts w:ascii="Times New Roman" w:eastAsia="Times New Roman" w:hAnsi="Times New Roman"/>
                <w:color w:val="000000"/>
                <w:sz w:val="20"/>
                <w:szCs w:val="20"/>
                <w:lang w:val="en-GB" w:eastAsia="fr-FR"/>
              </w:rPr>
              <w:br/>
              <w:t>Frail : 1.99 (1.94, 2.04)</w:t>
            </w:r>
          </w:p>
        </w:tc>
      </w:tr>
      <w:tr w:rsidR="00EE4BF0" w:rsidRPr="00E85D55" w14:paraId="49A1D4A0" w14:textId="77777777" w:rsidTr="007D1DAE">
        <w:trPr>
          <w:trHeight w:val="120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A57235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Kelaiditi, 2016, Europe</w:t>
            </w:r>
          </w:p>
        </w:tc>
        <w:tc>
          <w:tcPr>
            <w:tcW w:w="2360" w:type="dxa"/>
            <w:tcBorders>
              <w:top w:val="nil"/>
              <w:left w:val="nil"/>
              <w:bottom w:val="single" w:sz="4" w:space="0" w:color="auto"/>
              <w:right w:val="single" w:sz="4" w:space="0" w:color="auto"/>
            </w:tcBorders>
            <w:shd w:val="clear" w:color="auto" w:fill="auto"/>
            <w:vAlign w:val="center"/>
            <w:hideMark/>
          </w:tcPr>
          <w:p w14:paraId="1BF47F0E"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Frailty index : number of deficits over 30 identified, expressed in %</w:t>
            </w:r>
          </w:p>
        </w:tc>
        <w:tc>
          <w:tcPr>
            <w:tcW w:w="2160" w:type="dxa"/>
            <w:tcBorders>
              <w:top w:val="nil"/>
              <w:left w:val="nil"/>
              <w:bottom w:val="single" w:sz="4" w:space="0" w:color="auto"/>
              <w:right w:val="single" w:sz="4" w:space="0" w:color="auto"/>
            </w:tcBorders>
            <w:shd w:val="clear" w:color="auto" w:fill="auto"/>
            <w:vAlign w:val="center"/>
            <w:hideMark/>
          </w:tcPr>
          <w:p w14:paraId="0DBAEE8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1) Continuous variable </w:t>
            </w:r>
            <w:r w:rsidRPr="00E85D55">
              <w:rPr>
                <w:rFonts w:ascii="Times New Roman" w:eastAsia="Times New Roman" w:hAnsi="Times New Roman"/>
                <w:color w:val="000000"/>
                <w:sz w:val="20"/>
                <w:szCs w:val="20"/>
                <w:lang w:val="en-GB" w:eastAsia="fr-FR"/>
              </w:rPr>
              <w:br/>
              <w:t>2) Categorical variable :</w:t>
            </w:r>
            <w:r w:rsidRPr="00E85D55">
              <w:rPr>
                <w:rFonts w:ascii="Times New Roman" w:eastAsia="Times New Roman" w:hAnsi="Times New Roman"/>
                <w:color w:val="000000"/>
                <w:sz w:val="20"/>
                <w:szCs w:val="20"/>
                <w:lang w:val="en-GB" w:eastAsia="fr-FR"/>
              </w:rPr>
              <w:br/>
              <w:t>Not frail  (FI &lt; 0.25) (REF)</w:t>
            </w:r>
            <w:r w:rsidRPr="00E85D55">
              <w:rPr>
                <w:rFonts w:ascii="Times New Roman" w:eastAsia="Times New Roman" w:hAnsi="Times New Roman"/>
                <w:color w:val="000000"/>
                <w:sz w:val="20"/>
                <w:szCs w:val="20"/>
                <w:lang w:val="en-GB" w:eastAsia="fr-FR"/>
              </w:rPr>
              <w:br/>
              <w:t>Frail  (FI &gt;= 0.25 )</w:t>
            </w:r>
          </w:p>
        </w:tc>
        <w:tc>
          <w:tcPr>
            <w:tcW w:w="2360" w:type="dxa"/>
            <w:tcBorders>
              <w:top w:val="nil"/>
              <w:left w:val="nil"/>
              <w:bottom w:val="single" w:sz="4" w:space="0" w:color="auto"/>
              <w:right w:val="single" w:sz="4" w:space="0" w:color="auto"/>
            </w:tcBorders>
            <w:shd w:val="clear" w:color="auto" w:fill="auto"/>
            <w:vAlign w:val="center"/>
            <w:hideMark/>
          </w:tcPr>
          <w:p w14:paraId="575CFAC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NH placement (0/1)</w:t>
            </w:r>
          </w:p>
        </w:tc>
        <w:tc>
          <w:tcPr>
            <w:tcW w:w="2680" w:type="dxa"/>
            <w:tcBorders>
              <w:top w:val="nil"/>
              <w:left w:val="nil"/>
              <w:bottom w:val="single" w:sz="4" w:space="0" w:color="auto"/>
              <w:right w:val="single" w:sz="4" w:space="0" w:color="auto"/>
            </w:tcBorders>
            <w:shd w:val="clear" w:color="auto" w:fill="auto"/>
            <w:vAlign w:val="center"/>
            <w:hideMark/>
          </w:tcPr>
          <w:p w14:paraId="250E2A7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Continous : 1.018 (1.004, 1.032)</w:t>
            </w:r>
            <w:r w:rsidRPr="00E85D55">
              <w:rPr>
                <w:rFonts w:ascii="Times New Roman" w:eastAsia="Times New Roman" w:hAnsi="Times New Roman"/>
                <w:color w:val="000000"/>
                <w:sz w:val="20"/>
                <w:szCs w:val="20"/>
                <w:lang w:val="en-GB" w:eastAsia="fr-FR"/>
              </w:rPr>
              <w:br/>
              <w:t xml:space="preserve">Frail : 1.566 (1.112, 2.206) </w:t>
            </w:r>
          </w:p>
        </w:tc>
        <w:tc>
          <w:tcPr>
            <w:tcW w:w="1040" w:type="dxa"/>
            <w:tcBorders>
              <w:top w:val="nil"/>
              <w:left w:val="nil"/>
              <w:bottom w:val="single" w:sz="4" w:space="0" w:color="auto"/>
              <w:right w:val="single" w:sz="4" w:space="0" w:color="auto"/>
            </w:tcBorders>
            <w:shd w:val="clear" w:color="auto" w:fill="auto"/>
            <w:vAlign w:val="center"/>
            <w:hideMark/>
          </w:tcPr>
          <w:p w14:paraId="2B80069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HR</w:t>
            </w:r>
          </w:p>
        </w:tc>
        <w:tc>
          <w:tcPr>
            <w:tcW w:w="2600" w:type="dxa"/>
            <w:tcBorders>
              <w:top w:val="nil"/>
              <w:left w:val="nil"/>
              <w:bottom w:val="single" w:sz="4" w:space="0" w:color="auto"/>
              <w:right w:val="single" w:sz="4" w:space="0" w:color="auto"/>
            </w:tcBorders>
            <w:shd w:val="clear" w:color="auto" w:fill="auto"/>
            <w:vAlign w:val="center"/>
            <w:hideMark/>
          </w:tcPr>
          <w:p w14:paraId="69890C1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Continous :0.998 (0.983, 1.014) </w:t>
            </w:r>
            <w:r w:rsidRPr="00E85D55">
              <w:rPr>
                <w:rFonts w:ascii="Times New Roman" w:eastAsia="Times New Roman" w:hAnsi="Times New Roman"/>
                <w:color w:val="000000"/>
                <w:sz w:val="20"/>
                <w:szCs w:val="20"/>
                <w:lang w:val="en-GB" w:eastAsia="fr-FR"/>
              </w:rPr>
              <w:br/>
              <w:t xml:space="preserve">Frail : 2.121 (1.352, 3.325) </w:t>
            </w:r>
          </w:p>
        </w:tc>
      </w:tr>
      <w:tr w:rsidR="00EE4BF0" w:rsidRPr="00E85D55" w14:paraId="077B53BF" w14:textId="77777777" w:rsidTr="007D1DAE">
        <w:trPr>
          <w:trHeight w:val="1000"/>
        </w:trPr>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6066EB2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Gonzalez-Colaço Harmand, 2017, France</w:t>
            </w:r>
          </w:p>
        </w:tc>
        <w:tc>
          <w:tcPr>
            <w:tcW w:w="2360" w:type="dxa"/>
            <w:tcBorders>
              <w:top w:val="nil"/>
              <w:left w:val="nil"/>
              <w:bottom w:val="single" w:sz="4" w:space="0" w:color="auto"/>
              <w:right w:val="single" w:sz="4" w:space="0" w:color="auto"/>
            </w:tcBorders>
            <w:shd w:val="clear" w:color="auto" w:fill="auto"/>
            <w:vAlign w:val="center"/>
            <w:hideMark/>
          </w:tcPr>
          <w:p w14:paraId="6757CF4B"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Fried criteria</w:t>
            </w:r>
          </w:p>
        </w:tc>
        <w:tc>
          <w:tcPr>
            <w:tcW w:w="2160" w:type="dxa"/>
            <w:tcBorders>
              <w:top w:val="nil"/>
              <w:left w:val="nil"/>
              <w:bottom w:val="single" w:sz="4" w:space="0" w:color="auto"/>
              <w:right w:val="single" w:sz="4" w:space="0" w:color="auto"/>
            </w:tcBorders>
            <w:shd w:val="clear" w:color="auto" w:fill="auto"/>
            <w:vAlign w:val="center"/>
            <w:hideMark/>
          </w:tcPr>
          <w:p w14:paraId="2EB85CD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Robust (0 criteria) [REF]</w:t>
            </w:r>
            <w:r w:rsidRPr="00E85D55">
              <w:rPr>
                <w:rFonts w:ascii="Times New Roman" w:eastAsia="Times New Roman" w:hAnsi="Times New Roman"/>
                <w:color w:val="000000"/>
                <w:sz w:val="20"/>
                <w:szCs w:val="20"/>
                <w:lang w:val="en-GB" w:eastAsia="fr-FR"/>
              </w:rPr>
              <w:br/>
              <w:t>Pre-frail (1-2)</w:t>
            </w:r>
            <w:r w:rsidRPr="00E85D55">
              <w:rPr>
                <w:rFonts w:ascii="Times New Roman" w:eastAsia="Times New Roman" w:hAnsi="Times New Roman"/>
                <w:color w:val="000000"/>
                <w:sz w:val="20"/>
                <w:szCs w:val="20"/>
                <w:lang w:val="en-GB" w:eastAsia="fr-FR"/>
              </w:rPr>
              <w:br/>
              <w:t>Frail (≥ 3)</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14:paraId="71CD9F54"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NH placement (0/1)</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14:paraId="78665EC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0A5030C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w:t>
            </w:r>
          </w:p>
        </w:tc>
        <w:tc>
          <w:tcPr>
            <w:tcW w:w="2600" w:type="dxa"/>
            <w:tcBorders>
              <w:top w:val="nil"/>
              <w:left w:val="nil"/>
              <w:bottom w:val="single" w:sz="4" w:space="0" w:color="auto"/>
              <w:right w:val="single" w:sz="4" w:space="0" w:color="auto"/>
            </w:tcBorders>
            <w:shd w:val="clear" w:color="auto" w:fill="auto"/>
            <w:vAlign w:val="center"/>
            <w:hideMark/>
          </w:tcPr>
          <w:p w14:paraId="416CD6D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Non-robust : 1.34 (0.97 - 1.84) (pvalue 0,07)</w:t>
            </w:r>
          </w:p>
        </w:tc>
      </w:tr>
      <w:tr w:rsidR="00EE4BF0" w:rsidRPr="00E85D55" w14:paraId="47CD895E" w14:textId="77777777" w:rsidTr="007D1DAE">
        <w:trPr>
          <w:trHeight w:val="960"/>
        </w:trPr>
        <w:tc>
          <w:tcPr>
            <w:tcW w:w="1640" w:type="dxa"/>
            <w:vMerge/>
            <w:tcBorders>
              <w:top w:val="nil"/>
              <w:left w:val="single" w:sz="4" w:space="0" w:color="auto"/>
              <w:bottom w:val="single" w:sz="4" w:space="0" w:color="auto"/>
              <w:right w:val="single" w:sz="4" w:space="0" w:color="auto"/>
            </w:tcBorders>
            <w:vAlign w:val="center"/>
            <w:hideMark/>
          </w:tcPr>
          <w:p w14:paraId="2148851B"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7627118E" w14:textId="77777777" w:rsidR="00EE4BF0" w:rsidRPr="00E85D55" w:rsidRDefault="00EE4BF0" w:rsidP="007D1DAE">
            <w:pPr>
              <w:spacing w:after="0" w:line="480" w:lineRule="auto"/>
              <w:jc w:val="center"/>
              <w:rPr>
                <w:rFonts w:ascii="Times New Roman" w:eastAsia="Times New Roman" w:hAnsi="Times New Roman"/>
                <w:sz w:val="20"/>
                <w:szCs w:val="20"/>
                <w:lang w:val="en-GB" w:eastAsia="fr-FR"/>
              </w:rPr>
            </w:pPr>
            <w:r w:rsidRPr="00E85D55">
              <w:rPr>
                <w:rFonts w:ascii="Times New Roman" w:eastAsia="Times New Roman" w:hAnsi="Times New Roman"/>
                <w:sz w:val="20"/>
                <w:szCs w:val="20"/>
                <w:lang w:val="en-GB" w:eastAsia="fr-FR"/>
              </w:rPr>
              <w:t>Rockwood frailty index&gt; ratio of positive</w:t>
            </w:r>
            <w:r w:rsidRPr="00E85D55">
              <w:rPr>
                <w:rFonts w:ascii="Times New Roman" w:eastAsia="Times New Roman" w:hAnsi="Times New Roman"/>
                <w:sz w:val="20"/>
                <w:szCs w:val="20"/>
                <w:lang w:val="en-GB" w:eastAsia="fr-FR"/>
              </w:rPr>
              <w:br/>
              <w:t>parameters from a list of preselected deficits.</w:t>
            </w:r>
          </w:p>
        </w:tc>
        <w:tc>
          <w:tcPr>
            <w:tcW w:w="2160" w:type="dxa"/>
            <w:tcBorders>
              <w:top w:val="nil"/>
              <w:left w:val="nil"/>
              <w:bottom w:val="single" w:sz="4" w:space="0" w:color="auto"/>
              <w:right w:val="single" w:sz="4" w:space="0" w:color="auto"/>
            </w:tcBorders>
            <w:shd w:val="clear" w:color="auto" w:fill="auto"/>
            <w:vAlign w:val="center"/>
            <w:hideMark/>
          </w:tcPr>
          <w:p w14:paraId="53D96FFE" w14:textId="77777777" w:rsidR="00EE4BF0" w:rsidRPr="00E85D55" w:rsidRDefault="00EE4BF0" w:rsidP="007D1DAE">
            <w:pPr>
              <w:spacing w:after="0" w:line="480" w:lineRule="auto"/>
              <w:jc w:val="center"/>
              <w:rPr>
                <w:rFonts w:ascii="Times New Roman" w:eastAsia="Times New Roman" w:hAnsi="Times New Roman"/>
                <w:sz w:val="20"/>
                <w:szCs w:val="20"/>
                <w:lang w:val="en-GB" w:eastAsia="fr-FR"/>
              </w:rPr>
            </w:pPr>
            <w:r w:rsidRPr="00E85D55">
              <w:rPr>
                <w:rFonts w:ascii="Times New Roman" w:eastAsia="Times New Roman" w:hAnsi="Times New Roman"/>
                <w:sz w:val="20"/>
                <w:szCs w:val="20"/>
                <w:lang w:val="en-GB" w:eastAsia="fr-FR"/>
              </w:rPr>
              <w:t>REF: Robust (ratio&lt; 0.2)</w:t>
            </w:r>
            <w:r w:rsidRPr="00E85D55">
              <w:rPr>
                <w:rFonts w:ascii="Times New Roman" w:eastAsia="Times New Roman" w:hAnsi="Times New Roman"/>
                <w:sz w:val="20"/>
                <w:szCs w:val="20"/>
                <w:lang w:val="en-GB" w:eastAsia="fr-FR"/>
              </w:rPr>
              <w:br/>
              <w:t xml:space="preserve"> Non-robust (&gt; 0.2) </w:t>
            </w:r>
          </w:p>
        </w:tc>
        <w:tc>
          <w:tcPr>
            <w:tcW w:w="2360" w:type="dxa"/>
            <w:vMerge/>
            <w:tcBorders>
              <w:top w:val="nil"/>
              <w:left w:val="single" w:sz="4" w:space="0" w:color="auto"/>
              <w:bottom w:val="single" w:sz="4" w:space="0" w:color="auto"/>
              <w:right w:val="single" w:sz="4" w:space="0" w:color="auto"/>
            </w:tcBorders>
            <w:vAlign w:val="center"/>
            <w:hideMark/>
          </w:tcPr>
          <w:p w14:paraId="57AA4368"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80" w:type="dxa"/>
            <w:vMerge/>
            <w:tcBorders>
              <w:top w:val="nil"/>
              <w:left w:val="single" w:sz="4" w:space="0" w:color="auto"/>
              <w:bottom w:val="single" w:sz="4" w:space="0" w:color="auto"/>
              <w:right w:val="single" w:sz="4" w:space="0" w:color="auto"/>
            </w:tcBorders>
            <w:vAlign w:val="center"/>
            <w:hideMark/>
          </w:tcPr>
          <w:p w14:paraId="39E8C858"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1040" w:type="dxa"/>
            <w:vMerge/>
            <w:tcBorders>
              <w:top w:val="nil"/>
              <w:left w:val="single" w:sz="4" w:space="0" w:color="auto"/>
              <w:bottom w:val="single" w:sz="4" w:space="0" w:color="auto"/>
              <w:right w:val="single" w:sz="4" w:space="0" w:color="auto"/>
            </w:tcBorders>
            <w:vAlign w:val="center"/>
            <w:hideMark/>
          </w:tcPr>
          <w:p w14:paraId="325AB076"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5C30663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Non-robust : 1.32 (0.87 - 2) (pvalue 0,20)</w:t>
            </w:r>
          </w:p>
        </w:tc>
      </w:tr>
      <w:tr w:rsidR="00EE4BF0" w:rsidRPr="00E85D55" w14:paraId="41764769" w14:textId="77777777" w:rsidTr="007D1DAE">
        <w:trPr>
          <w:trHeight w:val="1200"/>
        </w:trPr>
        <w:tc>
          <w:tcPr>
            <w:tcW w:w="1640" w:type="dxa"/>
            <w:vMerge/>
            <w:tcBorders>
              <w:top w:val="nil"/>
              <w:left w:val="single" w:sz="4" w:space="0" w:color="auto"/>
              <w:bottom w:val="single" w:sz="4" w:space="0" w:color="auto"/>
              <w:right w:val="single" w:sz="4" w:space="0" w:color="auto"/>
            </w:tcBorders>
            <w:vAlign w:val="center"/>
            <w:hideMark/>
          </w:tcPr>
          <w:p w14:paraId="331BC8FF"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4BFA9D0D" w14:textId="77777777" w:rsidR="00EE4BF0" w:rsidRPr="00E85D55" w:rsidRDefault="00EE4BF0" w:rsidP="007D1DAE">
            <w:pPr>
              <w:spacing w:after="0" w:line="480" w:lineRule="auto"/>
              <w:jc w:val="center"/>
              <w:rPr>
                <w:rFonts w:ascii="Times New Roman" w:eastAsia="Times New Roman" w:hAnsi="Times New Roman"/>
                <w:sz w:val="20"/>
                <w:szCs w:val="20"/>
                <w:lang w:val="en-GB" w:eastAsia="fr-FR"/>
              </w:rPr>
            </w:pPr>
            <w:r w:rsidRPr="00E85D55">
              <w:rPr>
                <w:rFonts w:ascii="Times New Roman" w:eastAsia="Times New Roman" w:hAnsi="Times New Roman"/>
                <w:sz w:val="20"/>
                <w:szCs w:val="20"/>
                <w:lang w:val="en-GB" w:eastAsia="fr-FR"/>
              </w:rPr>
              <w:t>Tilburg Frailty Indicator (TFI), part B</w:t>
            </w:r>
          </w:p>
        </w:tc>
        <w:tc>
          <w:tcPr>
            <w:tcW w:w="2160" w:type="dxa"/>
            <w:tcBorders>
              <w:top w:val="nil"/>
              <w:left w:val="nil"/>
              <w:bottom w:val="single" w:sz="4" w:space="0" w:color="auto"/>
              <w:right w:val="single" w:sz="4" w:space="0" w:color="auto"/>
            </w:tcBorders>
            <w:shd w:val="clear" w:color="auto" w:fill="auto"/>
            <w:vAlign w:val="center"/>
            <w:hideMark/>
          </w:tcPr>
          <w:p w14:paraId="6867E153" w14:textId="77777777" w:rsidR="00EE4BF0" w:rsidRPr="00E85D55" w:rsidRDefault="00EE4BF0" w:rsidP="007D1DAE">
            <w:pPr>
              <w:spacing w:after="0" w:line="480" w:lineRule="auto"/>
              <w:jc w:val="center"/>
              <w:rPr>
                <w:rFonts w:ascii="Times New Roman" w:eastAsia="Times New Roman" w:hAnsi="Times New Roman"/>
                <w:sz w:val="20"/>
                <w:szCs w:val="20"/>
                <w:lang w:val="en-GB" w:eastAsia="fr-FR"/>
              </w:rPr>
            </w:pPr>
            <w:r w:rsidRPr="00E85D55">
              <w:rPr>
                <w:rFonts w:ascii="Times New Roman" w:eastAsia="Times New Roman" w:hAnsi="Times New Roman"/>
                <w:sz w:val="20"/>
                <w:szCs w:val="20"/>
                <w:lang w:val="en-GB" w:eastAsia="fr-FR"/>
              </w:rPr>
              <w:t xml:space="preserve">15 items considered; </w:t>
            </w:r>
            <w:r w:rsidRPr="00E85D55">
              <w:rPr>
                <w:rFonts w:ascii="Times New Roman" w:eastAsia="Times New Roman" w:hAnsi="Times New Roman"/>
                <w:sz w:val="20"/>
                <w:szCs w:val="20"/>
                <w:lang w:val="en-GB" w:eastAsia="fr-FR"/>
              </w:rPr>
              <w:br/>
              <w:t>REF : Robust : &lt; 5 [REF]</w:t>
            </w:r>
            <w:r w:rsidRPr="00E85D55">
              <w:rPr>
                <w:rFonts w:ascii="Times New Roman" w:eastAsia="Times New Roman" w:hAnsi="Times New Roman"/>
                <w:sz w:val="20"/>
                <w:szCs w:val="20"/>
                <w:lang w:val="en-GB" w:eastAsia="fr-FR"/>
              </w:rPr>
              <w:br/>
              <w:t>Frail (≥ 5)</w:t>
            </w:r>
          </w:p>
        </w:tc>
        <w:tc>
          <w:tcPr>
            <w:tcW w:w="2360" w:type="dxa"/>
            <w:vMerge/>
            <w:tcBorders>
              <w:top w:val="nil"/>
              <w:left w:val="single" w:sz="4" w:space="0" w:color="auto"/>
              <w:bottom w:val="single" w:sz="4" w:space="0" w:color="auto"/>
              <w:right w:val="single" w:sz="4" w:space="0" w:color="auto"/>
            </w:tcBorders>
            <w:vAlign w:val="center"/>
            <w:hideMark/>
          </w:tcPr>
          <w:p w14:paraId="743C12AD"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80" w:type="dxa"/>
            <w:vMerge/>
            <w:tcBorders>
              <w:top w:val="nil"/>
              <w:left w:val="single" w:sz="4" w:space="0" w:color="auto"/>
              <w:bottom w:val="single" w:sz="4" w:space="0" w:color="auto"/>
              <w:right w:val="single" w:sz="4" w:space="0" w:color="auto"/>
            </w:tcBorders>
            <w:vAlign w:val="center"/>
            <w:hideMark/>
          </w:tcPr>
          <w:p w14:paraId="3FA57BC5"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1040" w:type="dxa"/>
            <w:vMerge/>
            <w:tcBorders>
              <w:top w:val="nil"/>
              <w:left w:val="single" w:sz="4" w:space="0" w:color="auto"/>
              <w:bottom w:val="single" w:sz="4" w:space="0" w:color="auto"/>
              <w:right w:val="single" w:sz="4" w:space="0" w:color="auto"/>
            </w:tcBorders>
            <w:vAlign w:val="center"/>
            <w:hideMark/>
          </w:tcPr>
          <w:p w14:paraId="4A8A1766"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2EB06DE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Non-robust : 1.28 (0.92 - 1.80) (pvalue 0,15)</w:t>
            </w:r>
          </w:p>
        </w:tc>
      </w:tr>
      <w:tr w:rsidR="00EE4BF0" w:rsidRPr="00646ABB" w14:paraId="0927E724" w14:textId="77777777" w:rsidTr="007D1DAE">
        <w:trPr>
          <w:trHeight w:val="100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719E5BF6" w14:textId="77777777" w:rsidR="00EE4BF0" w:rsidRPr="00E85D55" w:rsidRDefault="00EE4BF0" w:rsidP="007D1DAE">
            <w:pPr>
              <w:spacing w:after="0" w:line="480" w:lineRule="auto"/>
              <w:jc w:val="center"/>
              <w:rPr>
                <w:rFonts w:ascii="Times New Roman" w:eastAsia="Times New Roman" w:hAnsi="Times New Roman"/>
                <w:sz w:val="20"/>
                <w:szCs w:val="20"/>
                <w:lang w:val="en-GB" w:eastAsia="fr-FR"/>
              </w:rPr>
            </w:pPr>
            <w:r w:rsidRPr="00E85D55">
              <w:rPr>
                <w:rFonts w:ascii="Times New Roman" w:eastAsia="Times New Roman" w:hAnsi="Times New Roman"/>
                <w:sz w:val="20"/>
                <w:szCs w:val="20"/>
                <w:lang w:val="en-GB" w:eastAsia="fr-FR"/>
              </w:rPr>
              <w:lastRenderedPageBreak/>
              <w:t>Ferrante, 2018, USA</w:t>
            </w:r>
          </w:p>
        </w:tc>
        <w:tc>
          <w:tcPr>
            <w:tcW w:w="2360" w:type="dxa"/>
            <w:tcBorders>
              <w:top w:val="nil"/>
              <w:left w:val="nil"/>
              <w:bottom w:val="single" w:sz="4" w:space="0" w:color="auto"/>
              <w:right w:val="single" w:sz="4" w:space="0" w:color="auto"/>
            </w:tcBorders>
            <w:shd w:val="clear" w:color="auto" w:fill="auto"/>
            <w:vAlign w:val="center"/>
            <w:hideMark/>
          </w:tcPr>
          <w:p w14:paraId="633ADDE2" w14:textId="77777777" w:rsidR="00EE4BF0" w:rsidRPr="00E85D55" w:rsidRDefault="00EE4BF0" w:rsidP="007D1DAE">
            <w:pPr>
              <w:spacing w:after="0" w:line="480" w:lineRule="auto"/>
              <w:jc w:val="center"/>
              <w:rPr>
                <w:rFonts w:ascii="Times New Roman" w:eastAsia="Times New Roman" w:hAnsi="Times New Roman"/>
                <w:sz w:val="20"/>
                <w:szCs w:val="20"/>
                <w:lang w:val="en-GB" w:eastAsia="fr-FR"/>
              </w:rPr>
            </w:pPr>
            <w:r w:rsidRPr="00E85D55">
              <w:rPr>
                <w:rFonts w:ascii="Times New Roman" w:eastAsia="Times New Roman" w:hAnsi="Times New Roman"/>
                <w:sz w:val="20"/>
                <w:szCs w:val="20"/>
                <w:lang w:val="en-GB" w:eastAsia="fr-FR"/>
              </w:rPr>
              <w:t>Fried criteria</w:t>
            </w:r>
          </w:p>
        </w:tc>
        <w:tc>
          <w:tcPr>
            <w:tcW w:w="2160" w:type="dxa"/>
            <w:tcBorders>
              <w:top w:val="nil"/>
              <w:left w:val="nil"/>
              <w:bottom w:val="single" w:sz="4" w:space="0" w:color="auto"/>
              <w:right w:val="single" w:sz="4" w:space="0" w:color="auto"/>
            </w:tcBorders>
            <w:shd w:val="clear" w:color="auto" w:fill="auto"/>
            <w:vAlign w:val="center"/>
            <w:hideMark/>
          </w:tcPr>
          <w:p w14:paraId="645F082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Robust (0 criteria) [REF]</w:t>
            </w:r>
            <w:r w:rsidRPr="00E85D55">
              <w:rPr>
                <w:rFonts w:ascii="Times New Roman" w:eastAsia="Times New Roman" w:hAnsi="Times New Roman"/>
                <w:color w:val="000000"/>
                <w:sz w:val="20"/>
                <w:szCs w:val="20"/>
                <w:lang w:val="en-GB" w:eastAsia="fr-FR"/>
              </w:rPr>
              <w:br/>
              <w:t>Pre-frail (1-2)</w:t>
            </w:r>
            <w:r w:rsidRPr="00E85D55">
              <w:rPr>
                <w:rFonts w:ascii="Times New Roman" w:eastAsia="Times New Roman" w:hAnsi="Times New Roman"/>
                <w:color w:val="000000"/>
                <w:sz w:val="20"/>
                <w:szCs w:val="20"/>
                <w:lang w:val="en-GB" w:eastAsia="fr-FR"/>
              </w:rPr>
              <w:br/>
              <w:t>Frail (≥ 3)</w:t>
            </w:r>
          </w:p>
        </w:tc>
        <w:tc>
          <w:tcPr>
            <w:tcW w:w="2360" w:type="dxa"/>
            <w:tcBorders>
              <w:top w:val="nil"/>
              <w:left w:val="nil"/>
              <w:bottom w:val="single" w:sz="4" w:space="0" w:color="auto"/>
              <w:right w:val="single" w:sz="4" w:space="0" w:color="auto"/>
            </w:tcBorders>
            <w:shd w:val="clear" w:color="auto" w:fill="auto"/>
            <w:vAlign w:val="center"/>
            <w:hideMark/>
          </w:tcPr>
          <w:p w14:paraId="2CC7E2CF" w14:textId="77777777" w:rsidR="00EE4BF0" w:rsidRPr="00E85D55" w:rsidRDefault="00EE4BF0" w:rsidP="007D1DAE">
            <w:pPr>
              <w:spacing w:after="0" w:line="480" w:lineRule="auto"/>
              <w:jc w:val="center"/>
              <w:rPr>
                <w:rFonts w:ascii="Times New Roman" w:eastAsia="Times New Roman" w:hAnsi="Times New Roman"/>
                <w:sz w:val="20"/>
                <w:szCs w:val="20"/>
                <w:lang w:val="en-GB" w:eastAsia="fr-FR"/>
              </w:rPr>
            </w:pPr>
            <w:r w:rsidRPr="00E85D55">
              <w:rPr>
                <w:rFonts w:ascii="Times New Roman" w:eastAsia="Times New Roman" w:hAnsi="Times New Roman"/>
                <w:sz w:val="20"/>
                <w:szCs w:val="20"/>
                <w:lang w:val="en-GB" w:eastAsia="fr-FR"/>
              </w:rPr>
              <w:t>Incident NH admission post ICU</w:t>
            </w:r>
          </w:p>
        </w:tc>
        <w:tc>
          <w:tcPr>
            <w:tcW w:w="2680" w:type="dxa"/>
            <w:tcBorders>
              <w:top w:val="nil"/>
              <w:left w:val="nil"/>
              <w:bottom w:val="single" w:sz="4" w:space="0" w:color="auto"/>
              <w:right w:val="single" w:sz="4" w:space="0" w:color="auto"/>
            </w:tcBorders>
            <w:shd w:val="clear" w:color="auto" w:fill="auto"/>
            <w:vAlign w:val="center"/>
            <w:hideMark/>
          </w:tcPr>
          <w:p w14:paraId="0B54EC9B" w14:textId="77777777" w:rsidR="00EE4BF0" w:rsidRPr="00E85D55" w:rsidRDefault="00EE4BF0" w:rsidP="007D1DAE">
            <w:pPr>
              <w:spacing w:after="0" w:line="480" w:lineRule="auto"/>
              <w:jc w:val="center"/>
              <w:rPr>
                <w:rFonts w:ascii="Times New Roman" w:eastAsia="Times New Roman" w:hAnsi="Times New Roman"/>
                <w:sz w:val="20"/>
                <w:szCs w:val="20"/>
                <w:lang w:val="en-GB" w:eastAsia="fr-FR"/>
              </w:rPr>
            </w:pPr>
            <w:r w:rsidRPr="00E85D55">
              <w:rPr>
                <w:rFonts w:ascii="Times New Roman" w:eastAsia="Times New Roman" w:hAnsi="Times New Roman"/>
                <w:sz w:val="20"/>
                <w:szCs w:val="20"/>
                <w:lang w:val="en-GB" w:eastAsia="fr-FR"/>
              </w:rPr>
              <w:t>NA</w:t>
            </w:r>
          </w:p>
        </w:tc>
        <w:tc>
          <w:tcPr>
            <w:tcW w:w="1040" w:type="dxa"/>
            <w:tcBorders>
              <w:top w:val="nil"/>
              <w:left w:val="nil"/>
              <w:bottom w:val="single" w:sz="4" w:space="0" w:color="auto"/>
              <w:right w:val="single" w:sz="4" w:space="0" w:color="auto"/>
            </w:tcBorders>
            <w:shd w:val="clear" w:color="auto" w:fill="auto"/>
            <w:vAlign w:val="center"/>
            <w:hideMark/>
          </w:tcPr>
          <w:p w14:paraId="54059BC6" w14:textId="77777777" w:rsidR="00EE4BF0" w:rsidRPr="00E85D55" w:rsidRDefault="00EE4BF0" w:rsidP="007D1DAE">
            <w:pPr>
              <w:spacing w:after="0" w:line="480" w:lineRule="auto"/>
              <w:jc w:val="center"/>
              <w:rPr>
                <w:rFonts w:ascii="Times New Roman" w:eastAsia="Times New Roman" w:hAnsi="Times New Roman"/>
                <w:sz w:val="20"/>
                <w:szCs w:val="20"/>
                <w:lang w:val="en-GB" w:eastAsia="fr-FR"/>
              </w:rPr>
            </w:pPr>
            <w:r w:rsidRPr="00E85D55">
              <w:rPr>
                <w:rFonts w:ascii="Times New Roman" w:eastAsia="Times New Roman" w:hAnsi="Times New Roman"/>
                <w:sz w:val="20"/>
                <w:szCs w:val="20"/>
                <w:lang w:val="en-GB" w:eastAsia="fr-FR"/>
              </w:rPr>
              <w:t>-</w:t>
            </w:r>
          </w:p>
        </w:tc>
        <w:tc>
          <w:tcPr>
            <w:tcW w:w="2600" w:type="dxa"/>
            <w:tcBorders>
              <w:top w:val="nil"/>
              <w:left w:val="nil"/>
              <w:bottom w:val="single" w:sz="4" w:space="0" w:color="auto"/>
              <w:right w:val="single" w:sz="4" w:space="0" w:color="auto"/>
            </w:tcBorders>
            <w:shd w:val="clear" w:color="auto" w:fill="auto"/>
            <w:vAlign w:val="center"/>
            <w:hideMark/>
          </w:tcPr>
          <w:p w14:paraId="7635CDDF" w14:textId="77777777" w:rsidR="00EE4BF0" w:rsidRPr="00E85D55" w:rsidRDefault="00EE4BF0" w:rsidP="007D1DAE">
            <w:pPr>
              <w:spacing w:after="0" w:line="480" w:lineRule="auto"/>
              <w:jc w:val="center"/>
              <w:rPr>
                <w:rFonts w:ascii="Times New Roman" w:eastAsia="Times New Roman" w:hAnsi="Times New Roman"/>
                <w:sz w:val="20"/>
                <w:szCs w:val="20"/>
                <w:lang w:val="en-GB" w:eastAsia="fr-FR"/>
              </w:rPr>
            </w:pPr>
            <w:r w:rsidRPr="00E85D55">
              <w:rPr>
                <w:rFonts w:ascii="Times New Roman" w:eastAsia="Times New Roman" w:hAnsi="Times New Roman"/>
                <w:sz w:val="20"/>
                <w:szCs w:val="20"/>
                <w:lang w:val="en-GB" w:eastAsia="fr-FR"/>
              </w:rPr>
              <w:t>Frail : 3.52 (1.23-10.08)</w:t>
            </w:r>
            <w:r w:rsidRPr="00E85D55">
              <w:rPr>
                <w:rFonts w:ascii="Times New Roman" w:eastAsia="Times New Roman" w:hAnsi="Times New Roman"/>
                <w:sz w:val="20"/>
                <w:szCs w:val="20"/>
                <w:lang w:val="en-GB" w:eastAsia="fr-FR"/>
              </w:rPr>
              <w:br/>
              <w:t xml:space="preserve"> Pre-frail : 2.01 (0.77-5.24)</w:t>
            </w:r>
            <w:r w:rsidRPr="00E85D55">
              <w:rPr>
                <w:rFonts w:ascii="Times New Roman" w:eastAsia="Times New Roman" w:hAnsi="Times New Roman"/>
                <w:sz w:val="20"/>
                <w:szCs w:val="20"/>
                <w:lang w:val="en-GB" w:eastAsia="fr-FR"/>
              </w:rPr>
              <w:br/>
              <w:t xml:space="preserve"> REF : Not frail </w:t>
            </w:r>
          </w:p>
        </w:tc>
      </w:tr>
      <w:tr w:rsidR="00EE4BF0" w:rsidRPr="00E85D55" w14:paraId="135B78DF" w14:textId="77777777" w:rsidTr="007D1DAE">
        <w:trPr>
          <w:trHeight w:val="960"/>
        </w:trPr>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5ADAFEC2"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Hajek, 2018, Germany</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14:paraId="1E6C388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Fried criteria</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38C1B45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Robust (0 criteria) [REF]</w:t>
            </w:r>
            <w:r w:rsidRPr="00E85D55">
              <w:rPr>
                <w:rFonts w:ascii="Times New Roman" w:eastAsia="Times New Roman" w:hAnsi="Times New Roman"/>
                <w:color w:val="000000"/>
                <w:sz w:val="20"/>
                <w:szCs w:val="20"/>
                <w:lang w:val="en-GB" w:eastAsia="fr-FR"/>
              </w:rPr>
              <w:br/>
              <w:t>Pre-fail (1)</w:t>
            </w:r>
            <w:r w:rsidRPr="00E85D55">
              <w:rPr>
                <w:rFonts w:ascii="Times New Roman" w:eastAsia="Times New Roman" w:hAnsi="Times New Roman"/>
                <w:color w:val="000000"/>
                <w:sz w:val="20"/>
                <w:szCs w:val="20"/>
                <w:lang w:val="en-GB" w:eastAsia="fr-FR"/>
              </w:rPr>
              <w:br/>
              <w:t>Pre-fail (2)</w:t>
            </w:r>
            <w:r w:rsidRPr="00E85D55">
              <w:rPr>
                <w:rFonts w:ascii="Times New Roman" w:eastAsia="Times New Roman" w:hAnsi="Times New Roman"/>
                <w:color w:val="000000"/>
                <w:sz w:val="20"/>
                <w:szCs w:val="20"/>
                <w:lang w:val="en-GB" w:eastAsia="fr-FR"/>
              </w:rPr>
              <w:br/>
              <w:t>Frail (3)</w:t>
            </w:r>
            <w:r w:rsidRPr="00E85D55">
              <w:rPr>
                <w:rFonts w:ascii="Times New Roman" w:eastAsia="Times New Roman" w:hAnsi="Times New Roman"/>
                <w:color w:val="000000"/>
                <w:sz w:val="20"/>
                <w:szCs w:val="20"/>
                <w:lang w:val="en-GB" w:eastAsia="fr-FR"/>
              </w:rPr>
              <w:br/>
              <w:t>Frail (4-5)</w:t>
            </w:r>
          </w:p>
        </w:tc>
        <w:tc>
          <w:tcPr>
            <w:tcW w:w="2360" w:type="dxa"/>
            <w:tcBorders>
              <w:top w:val="nil"/>
              <w:left w:val="nil"/>
              <w:bottom w:val="single" w:sz="4" w:space="0" w:color="auto"/>
              <w:right w:val="single" w:sz="4" w:space="0" w:color="auto"/>
            </w:tcBorders>
            <w:shd w:val="clear" w:color="auto" w:fill="auto"/>
            <w:vAlign w:val="center"/>
            <w:hideMark/>
          </w:tcPr>
          <w:p w14:paraId="7A31306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Professional nursing care costs</w:t>
            </w:r>
          </w:p>
        </w:tc>
        <w:tc>
          <w:tcPr>
            <w:tcW w:w="2680" w:type="dxa"/>
            <w:tcBorders>
              <w:top w:val="nil"/>
              <w:left w:val="nil"/>
              <w:bottom w:val="single" w:sz="4" w:space="0" w:color="auto"/>
              <w:right w:val="single" w:sz="4" w:space="0" w:color="auto"/>
            </w:tcBorders>
            <w:shd w:val="clear" w:color="auto" w:fill="auto"/>
            <w:vAlign w:val="center"/>
            <w:hideMark/>
          </w:tcPr>
          <w:p w14:paraId="4C1A800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2FADCD8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w:t>
            </w:r>
          </w:p>
        </w:tc>
        <w:tc>
          <w:tcPr>
            <w:tcW w:w="2600" w:type="dxa"/>
            <w:tcBorders>
              <w:top w:val="nil"/>
              <w:left w:val="nil"/>
              <w:bottom w:val="single" w:sz="4" w:space="0" w:color="auto"/>
              <w:right w:val="single" w:sz="4" w:space="0" w:color="auto"/>
            </w:tcBorders>
            <w:shd w:val="clear" w:color="auto" w:fill="auto"/>
            <w:vAlign w:val="center"/>
            <w:hideMark/>
          </w:tcPr>
          <w:p w14:paraId="39B2971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Pre-frail (1) : −0.04 (0.03)</w:t>
            </w:r>
            <w:r w:rsidRPr="00E85D55">
              <w:rPr>
                <w:rFonts w:ascii="Times New Roman" w:eastAsia="Times New Roman" w:hAnsi="Times New Roman"/>
                <w:color w:val="000000"/>
                <w:sz w:val="20"/>
                <w:szCs w:val="20"/>
                <w:lang w:val="en-GB" w:eastAsia="fr-FR"/>
              </w:rPr>
              <w:br/>
              <w:t>Pre-frail (2) :  −0.03 (0.04)</w:t>
            </w:r>
            <w:r w:rsidRPr="00E85D55">
              <w:rPr>
                <w:rFonts w:ascii="Times New Roman" w:eastAsia="Times New Roman" w:hAnsi="Times New Roman"/>
                <w:color w:val="000000"/>
                <w:sz w:val="20"/>
                <w:szCs w:val="20"/>
                <w:lang w:val="en-GB" w:eastAsia="fr-FR"/>
              </w:rPr>
              <w:br/>
              <w:t>Frail (3): 0.04 (0.09)</w:t>
            </w:r>
            <w:r w:rsidRPr="00E85D55">
              <w:rPr>
                <w:rFonts w:ascii="Times New Roman" w:eastAsia="Times New Roman" w:hAnsi="Times New Roman"/>
                <w:color w:val="000000"/>
                <w:sz w:val="20"/>
                <w:szCs w:val="20"/>
                <w:lang w:val="en-GB" w:eastAsia="fr-FR"/>
              </w:rPr>
              <w:br/>
              <w:t>Frail (4 - 5) : 0.55* (0.23)</w:t>
            </w:r>
          </w:p>
        </w:tc>
      </w:tr>
      <w:tr w:rsidR="00EE4BF0" w:rsidRPr="00E85D55" w14:paraId="70CF82CC" w14:textId="77777777" w:rsidTr="007D1DAE">
        <w:trPr>
          <w:trHeight w:val="960"/>
        </w:trPr>
        <w:tc>
          <w:tcPr>
            <w:tcW w:w="1640" w:type="dxa"/>
            <w:vMerge/>
            <w:tcBorders>
              <w:top w:val="nil"/>
              <w:left w:val="single" w:sz="4" w:space="0" w:color="auto"/>
              <w:bottom w:val="single" w:sz="4" w:space="0" w:color="auto"/>
              <w:right w:val="single" w:sz="4" w:space="0" w:color="auto"/>
            </w:tcBorders>
            <w:vAlign w:val="center"/>
            <w:hideMark/>
          </w:tcPr>
          <w:p w14:paraId="3738ADDF"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147319F5"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160" w:type="dxa"/>
            <w:vMerge/>
            <w:tcBorders>
              <w:top w:val="nil"/>
              <w:left w:val="single" w:sz="4" w:space="0" w:color="auto"/>
              <w:bottom w:val="single" w:sz="4" w:space="0" w:color="auto"/>
              <w:right w:val="single" w:sz="4" w:space="0" w:color="auto"/>
            </w:tcBorders>
            <w:vAlign w:val="center"/>
            <w:hideMark/>
          </w:tcPr>
          <w:p w14:paraId="1EB78C98"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02996CB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Informal care costs</w:t>
            </w:r>
          </w:p>
        </w:tc>
        <w:tc>
          <w:tcPr>
            <w:tcW w:w="2680" w:type="dxa"/>
            <w:tcBorders>
              <w:top w:val="nil"/>
              <w:left w:val="nil"/>
              <w:bottom w:val="single" w:sz="4" w:space="0" w:color="auto"/>
              <w:right w:val="single" w:sz="4" w:space="0" w:color="auto"/>
            </w:tcBorders>
            <w:shd w:val="clear" w:color="auto" w:fill="auto"/>
            <w:vAlign w:val="center"/>
            <w:hideMark/>
          </w:tcPr>
          <w:p w14:paraId="52ECD65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c>
          <w:tcPr>
            <w:tcW w:w="1040" w:type="dxa"/>
            <w:vMerge/>
            <w:tcBorders>
              <w:top w:val="nil"/>
              <w:left w:val="single" w:sz="4" w:space="0" w:color="auto"/>
              <w:bottom w:val="single" w:sz="4" w:space="0" w:color="auto"/>
              <w:right w:val="single" w:sz="4" w:space="0" w:color="auto"/>
            </w:tcBorders>
            <w:vAlign w:val="center"/>
            <w:hideMark/>
          </w:tcPr>
          <w:p w14:paraId="62E6A47D"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600" w:type="dxa"/>
            <w:tcBorders>
              <w:top w:val="nil"/>
              <w:left w:val="nil"/>
              <w:bottom w:val="single" w:sz="4" w:space="0" w:color="auto"/>
              <w:right w:val="single" w:sz="4" w:space="0" w:color="auto"/>
            </w:tcBorders>
            <w:shd w:val="clear" w:color="auto" w:fill="auto"/>
            <w:vAlign w:val="center"/>
            <w:hideMark/>
          </w:tcPr>
          <w:p w14:paraId="45412FB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eastAsia="fr-FR"/>
              </w:rPr>
            </w:pPr>
            <w:r w:rsidRPr="00E85D55">
              <w:rPr>
                <w:rFonts w:ascii="Times New Roman" w:eastAsia="Times New Roman" w:hAnsi="Times New Roman"/>
                <w:color w:val="000000"/>
                <w:sz w:val="20"/>
                <w:szCs w:val="20"/>
                <w:lang w:eastAsia="fr-FR"/>
              </w:rPr>
              <w:t>Pre-frail (1) : 0.03 (0.04)</w:t>
            </w:r>
            <w:r w:rsidRPr="00E85D55">
              <w:rPr>
                <w:rFonts w:ascii="Times New Roman" w:eastAsia="Times New Roman" w:hAnsi="Times New Roman"/>
                <w:color w:val="000000"/>
                <w:sz w:val="20"/>
                <w:szCs w:val="20"/>
                <w:lang w:eastAsia="fr-FR"/>
              </w:rPr>
              <w:br/>
              <w:t>Pre-frail (2) :  0.05 (0.06)</w:t>
            </w:r>
            <w:r w:rsidRPr="00E85D55">
              <w:rPr>
                <w:rFonts w:ascii="Times New Roman" w:eastAsia="Times New Roman" w:hAnsi="Times New Roman"/>
                <w:color w:val="000000"/>
                <w:sz w:val="20"/>
                <w:szCs w:val="20"/>
                <w:lang w:eastAsia="fr-FR"/>
              </w:rPr>
              <w:br/>
              <w:t>Frail (3): 0.42** (0.16)</w:t>
            </w:r>
            <w:r w:rsidRPr="00E85D55">
              <w:rPr>
                <w:rFonts w:ascii="Times New Roman" w:eastAsia="Times New Roman" w:hAnsi="Times New Roman"/>
                <w:color w:val="000000"/>
                <w:sz w:val="20"/>
                <w:szCs w:val="20"/>
                <w:lang w:eastAsia="fr-FR"/>
              </w:rPr>
              <w:br/>
              <w:t>Frail (4 - 5) : 0.52 (0.35)</w:t>
            </w:r>
          </w:p>
        </w:tc>
      </w:tr>
      <w:tr w:rsidR="00EE4BF0" w:rsidRPr="00E85D55" w14:paraId="2C18E9F8" w14:textId="77777777" w:rsidTr="007D1DAE">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63D9C2B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Lambotte, 2018, Belgium</w:t>
            </w:r>
          </w:p>
        </w:tc>
        <w:tc>
          <w:tcPr>
            <w:tcW w:w="2360" w:type="dxa"/>
            <w:tcBorders>
              <w:top w:val="nil"/>
              <w:left w:val="nil"/>
              <w:bottom w:val="single" w:sz="4" w:space="0" w:color="auto"/>
              <w:right w:val="single" w:sz="4" w:space="0" w:color="auto"/>
            </w:tcBorders>
            <w:shd w:val="clear" w:color="auto" w:fill="auto"/>
            <w:vAlign w:val="center"/>
            <w:hideMark/>
          </w:tcPr>
          <w:p w14:paraId="340FFB5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Comprehensive Frailty Assessment Instrument - physical dimension</w:t>
            </w:r>
          </w:p>
        </w:tc>
        <w:tc>
          <w:tcPr>
            <w:tcW w:w="2160" w:type="dxa"/>
            <w:tcBorders>
              <w:top w:val="nil"/>
              <w:left w:val="nil"/>
              <w:bottom w:val="single" w:sz="4" w:space="0" w:color="auto"/>
              <w:right w:val="single" w:sz="4" w:space="0" w:color="auto"/>
            </w:tcBorders>
            <w:shd w:val="clear" w:color="auto" w:fill="auto"/>
            <w:vAlign w:val="center"/>
            <w:hideMark/>
          </w:tcPr>
          <w:p w14:paraId="642AF58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No-low frail </w:t>
            </w:r>
            <w:r w:rsidRPr="00E85D55">
              <w:rPr>
                <w:rFonts w:ascii="Times New Roman" w:eastAsia="Times New Roman" w:hAnsi="Times New Roman"/>
                <w:color w:val="000000"/>
                <w:sz w:val="20"/>
                <w:szCs w:val="20"/>
                <w:lang w:val="en-GB" w:eastAsia="fr-FR"/>
              </w:rPr>
              <w:br/>
              <w:t xml:space="preserve">Middle frail </w:t>
            </w:r>
            <w:r w:rsidRPr="00E85D55">
              <w:rPr>
                <w:rFonts w:ascii="Times New Roman" w:eastAsia="Times New Roman" w:hAnsi="Times New Roman"/>
                <w:color w:val="000000"/>
                <w:sz w:val="20"/>
                <w:szCs w:val="20"/>
                <w:lang w:val="en-GB" w:eastAsia="fr-FR"/>
              </w:rPr>
              <w:br/>
              <w:t xml:space="preserve"> High frail</w:t>
            </w:r>
          </w:p>
        </w:tc>
        <w:tc>
          <w:tcPr>
            <w:tcW w:w="2360" w:type="dxa"/>
            <w:tcBorders>
              <w:top w:val="nil"/>
              <w:left w:val="nil"/>
              <w:bottom w:val="single" w:sz="4" w:space="0" w:color="auto"/>
              <w:right w:val="single" w:sz="4" w:space="0" w:color="auto"/>
            </w:tcBorders>
            <w:shd w:val="clear" w:color="auto" w:fill="auto"/>
            <w:vAlign w:val="center"/>
            <w:hideMark/>
          </w:tcPr>
          <w:p w14:paraId="5F1B091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Combinations of formal and informal care (latent class analysis)</w:t>
            </w:r>
          </w:p>
        </w:tc>
        <w:tc>
          <w:tcPr>
            <w:tcW w:w="2680" w:type="dxa"/>
            <w:tcBorders>
              <w:top w:val="nil"/>
              <w:left w:val="nil"/>
              <w:bottom w:val="single" w:sz="4" w:space="0" w:color="auto"/>
              <w:right w:val="single" w:sz="4" w:space="0" w:color="auto"/>
            </w:tcBorders>
            <w:shd w:val="clear" w:color="auto" w:fill="auto"/>
            <w:vAlign w:val="center"/>
            <w:hideMark/>
          </w:tcPr>
          <w:p w14:paraId="2B38ECF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c>
          <w:tcPr>
            <w:tcW w:w="1040" w:type="dxa"/>
            <w:tcBorders>
              <w:top w:val="nil"/>
              <w:left w:val="nil"/>
              <w:bottom w:val="single" w:sz="4" w:space="0" w:color="auto"/>
              <w:right w:val="single" w:sz="4" w:space="0" w:color="auto"/>
            </w:tcBorders>
            <w:shd w:val="clear" w:color="auto" w:fill="auto"/>
            <w:vAlign w:val="center"/>
            <w:hideMark/>
          </w:tcPr>
          <w:p w14:paraId="41E83E6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w:t>
            </w:r>
          </w:p>
        </w:tc>
        <w:tc>
          <w:tcPr>
            <w:tcW w:w="2600" w:type="dxa"/>
            <w:tcBorders>
              <w:top w:val="nil"/>
              <w:left w:val="nil"/>
              <w:bottom w:val="single" w:sz="4" w:space="0" w:color="auto"/>
              <w:right w:val="single" w:sz="4" w:space="0" w:color="auto"/>
            </w:tcBorders>
            <w:shd w:val="clear" w:color="auto" w:fill="auto"/>
            <w:vAlign w:val="center"/>
            <w:hideMark/>
          </w:tcPr>
          <w:p w14:paraId="05AF2B33"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r>
      <w:tr w:rsidR="00EE4BF0" w:rsidRPr="00E85D55" w14:paraId="295EA31A" w14:textId="77777777" w:rsidTr="007D1DAE">
        <w:trPr>
          <w:trHeight w:val="480"/>
        </w:trPr>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52D48989"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Verver, 2018, Netherlands</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14:paraId="3EAD40AF"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xml:space="preserve">Tilburg Frailty Indicator (TFI), part B </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17975357" w14:textId="77777777" w:rsidR="00EE4BF0" w:rsidRPr="001D1CDD" w:rsidRDefault="00EE4BF0" w:rsidP="007D1DAE">
            <w:pPr>
              <w:spacing w:after="0" w:line="480" w:lineRule="auto"/>
              <w:jc w:val="center"/>
              <w:rPr>
                <w:rFonts w:ascii="Times New Roman" w:eastAsia="Times New Roman" w:hAnsi="Times New Roman"/>
                <w:color w:val="000000"/>
                <w:sz w:val="20"/>
                <w:szCs w:val="20"/>
                <w:lang w:eastAsia="fr-FR"/>
              </w:rPr>
            </w:pPr>
            <w:r w:rsidRPr="001D1CDD">
              <w:rPr>
                <w:rFonts w:ascii="Times New Roman" w:eastAsia="Times New Roman" w:hAnsi="Times New Roman"/>
                <w:color w:val="000000"/>
                <w:sz w:val="20"/>
                <w:szCs w:val="20"/>
                <w:lang w:eastAsia="fr-FR"/>
              </w:rPr>
              <w:t>Non frail (TFI &lt; 6=5)</w:t>
            </w:r>
            <w:r w:rsidRPr="001D1CDD">
              <w:rPr>
                <w:rFonts w:ascii="Times New Roman" w:eastAsia="Times New Roman" w:hAnsi="Times New Roman"/>
                <w:color w:val="000000"/>
                <w:sz w:val="20"/>
                <w:szCs w:val="20"/>
                <w:lang w:eastAsia="fr-FR"/>
              </w:rPr>
              <w:br/>
              <w:t>Frail  (TFI ≥ 5)</w:t>
            </w:r>
          </w:p>
        </w:tc>
        <w:tc>
          <w:tcPr>
            <w:tcW w:w="2360" w:type="dxa"/>
            <w:tcBorders>
              <w:top w:val="nil"/>
              <w:left w:val="nil"/>
              <w:bottom w:val="single" w:sz="4" w:space="0" w:color="auto"/>
              <w:right w:val="single" w:sz="4" w:space="0" w:color="auto"/>
            </w:tcBorders>
            <w:shd w:val="clear" w:color="auto" w:fill="auto"/>
            <w:vAlign w:val="center"/>
            <w:hideMark/>
          </w:tcPr>
          <w:p w14:paraId="2364FB5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Number of formal caregivers</w:t>
            </w:r>
          </w:p>
        </w:tc>
        <w:tc>
          <w:tcPr>
            <w:tcW w:w="2680" w:type="dxa"/>
            <w:tcBorders>
              <w:top w:val="nil"/>
              <w:left w:val="nil"/>
              <w:bottom w:val="single" w:sz="4" w:space="0" w:color="auto"/>
              <w:right w:val="single" w:sz="4" w:space="0" w:color="auto"/>
            </w:tcBorders>
            <w:shd w:val="clear" w:color="auto" w:fill="auto"/>
            <w:vAlign w:val="center"/>
            <w:hideMark/>
          </w:tcPr>
          <w:p w14:paraId="7409E335"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c>
          <w:tcPr>
            <w:tcW w:w="1040" w:type="dxa"/>
            <w:tcBorders>
              <w:top w:val="nil"/>
              <w:left w:val="nil"/>
              <w:bottom w:val="single" w:sz="4" w:space="0" w:color="auto"/>
              <w:right w:val="single" w:sz="4" w:space="0" w:color="auto"/>
            </w:tcBorders>
            <w:shd w:val="clear" w:color="auto" w:fill="auto"/>
            <w:vAlign w:val="center"/>
            <w:hideMark/>
          </w:tcPr>
          <w:p w14:paraId="3A5E5C7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w:t>
            </w:r>
          </w:p>
        </w:tc>
        <w:tc>
          <w:tcPr>
            <w:tcW w:w="2600" w:type="dxa"/>
            <w:tcBorders>
              <w:top w:val="nil"/>
              <w:left w:val="nil"/>
              <w:bottom w:val="single" w:sz="4" w:space="0" w:color="auto"/>
              <w:right w:val="single" w:sz="4" w:space="0" w:color="auto"/>
            </w:tcBorders>
            <w:shd w:val="clear" w:color="auto" w:fill="auto"/>
            <w:vAlign w:val="center"/>
            <w:hideMark/>
          </w:tcPr>
          <w:p w14:paraId="510E36F1"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r>
      <w:tr w:rsidR="00EE4BF0" w:rsidRPr="00E85D55" w14:paraId="2505C736" w14:textId="77777777" w:rsidTr="007D1DAE">
        <w:trPr>
          <w:trHeight w:val="480"/>
        </w:trPr>
        <w:tc>
          <w:tcPr>
            <w:tcW w:w="1640" w:type="dxa"/>
            <w:vMerge/>
            <w:tcBorders>
              <w:top w:val="nil"/>
              <w:left w:val="single" w:sz="4" w:space="0" w:color="auto"/>
              <w:bottom w:val="single" w:sz="4" w:space="0" w:color="auto"/>
              <w:right w:val="single" w:sz="4" w:space="0" w:color="auto"/>
            </w:tcBorders>
            <w:vAlign w:val="center"/>
            <w:hideMark/>
          </w:tcPr>
          <w:p w14:paraId="2EA3F756"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63545E61"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160" w:type="dxa"/>
            <w:vMerge/>
            <w:tcBorders>
              <w:top w:val="nil"/>
              <w:left w:val="single" w:sz="4" w:space="0" w:color="auto"/>
              <w:bottom w:val="single" w:sz="4" w:space="0" w:color="auto"/>
              <w:right w:val="single" w:sz="4" w:space="0" w:color="auto"/>
            </w:tcBorders>
            <w:vAlign w:val="center"/>
            <w:hideMark/>
          </w:tcPr>
          <w:p w14:paraId="36B59BA9"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702175DD"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Presence of informal caregivers</w:t>
            </w:r>
          </w:p>
        </w:tc>
        <w:tc>
          <w:tcPr>
            <w:tcW w:w="2680" w:type="dxa"/>
            <w:tcBorders>
              <w:top w:val="nil"/>
              <w:left w:val="nil"/>
              <w:bottom w:val="single" w:sz="4" w:space="0" w:color="auto"/>
              <w:right w:val="single" w:sz="4" w:space="0" w:color="auto"/>
            </w:tcBorders>
            <w:shd w:val="clear" w:color="auto" w:fill="auto"/>
            <w:vAlign w:val="center"/>
            <w:hideMark/>
          </w:tcPr>
          <w:p w14:paraId="4EB38676"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c>
          <w:tcPr>
            <w:tcW w:w="1040" w:type="dxa"/>
            <w:tcBorders>
              <w:top w:val="nil"/>
              <w:left w:val="nil"/>
              <w:bottom w:val="single" w:sz="4" w:space="0" w:color="auto"/>
              <w:right w:val="single" w:sz="4" w:space="0" w:color="auto"/>
            </w:tcBorders>
            <w:shd w:val="clear" w:color="auto" w:fill="auto"/>
            <w:vAlign w:val="center"/>
            <w:hideMark/>
          </w:tcPr>
          <w:p w14:paraId="583A3B5A"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w:t>
            </w:r>
          </w:p>
        </w:tc>
        <w:tc>
          <w:tcPr>
            <w:tcW w:w="2600" w:type="dxa"/>
            <w:tcBorders>
              <w:top w:val="nil"/>
              <w:left w:val="nil"/>
              <w:bottom w:val="single" w:sz="4" w:space="0" w:color="auto"/>
              <w:right w:val="single" w:sz="4" w:space="0" w:color="auto"/>
            </w:tcBorders>
            <w:shd w:val="clear" w:color="auto" w:fill="auto"/>
            <w:vAlign w:val="center"/>
            <w:hideMark/>
          </w:tcPr>
          <w:p w14:paraId="4D03C768"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r>
      <w:tr w:rsidR="00EE4BF0" w:rsidRPr="00E85D55" w14:paraId="2EA568A9" w14:textId="77777777" w:rsidTr="007D1DAE">
        <w:trPr>
          <w:trHeight w:val="240"/>
        </w:trPr>
        <w:tc>
          <w:tcPr>
            <w:tcW w:w="1640" w:type="dxa"/>
            <w:vMerge/>
            <w:tcBorders>
              <w:top w:val="nil"/>
              <w:left w:val="single" w:sz="4" w:space="0" w:color="auto"/>
              <w:bottom w:val="single" w:sz="4" w:space="0" w:color="auto"/>
              <w:right w:val="single" w:sz="4" w:space="0" w:color="auto"/>
            </w:tcBorders>
            <w:vAlign w:val="center"/>
            <w:hideMark/>
          </w:tcPr>
          <w:p w14:paraId="69B821B4"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vMerge/>
            <w:tcBorders>
              <w:top w:val="nil"/>
              <w:left w:val="single" w:sz="4" w:space="0" w:color="auto"/>
              <w:bottom w:val="single" w:sz="4" w:space="0" w:color="auto"/>
              <w:right w:val="single" w:sz="4" w:space="0" w:color="auto"/>
            </w:tcBorders>
            <w:vAlign w:val="center"/>
            <w:hideMark/>
          </w:tcPr>
          <w:p w14:paraId="57F1F458"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160" w:type="dxa"/>
            <w:vMerge/>
            <w:tcBorders>
              <w:top w:val="nil"/>
              <w:left w:val="single" w:sz="4" w:space="0" w:color="auto"/>
              <w:bottom w:val="single" w:sz="4" w:space="0" w:color="auto"/>
              <w:right w:val="single" w:sz="4" w:space="0" w:color="auto"/>
            </w:tcBorders>
            <w:vAlign w:val="center"/>
            <w:hideMark/>
          </w:tcPr>
          <w:p w14:paraId="7837BAC4" w14:textId="77777777" w:rsidR="00EE4BF0" w:rsidRPr="00E85D55" w:rsidRDefault="00EE4BF0" w:rsidP="007D1DAE">
            <w:pPr>
              <w:spacing w:after="0" w:line="480" w:lineRule="auto"/>
              <w:rPr>
                <w:rFonts w:ascii="Times New Roman" w:eastAsia="Times New Roman" w:hAnsi="Times New Roman"/>
                <w:color w:val="000000"/>
                <w:sz w:val="20"/>
                <w:szCs w:val="20"/>
                <w:lang w:val="en-GB" w:eastAsia="fr-FR"/>
              </w:rPr>
            </w:pPr>
          </w:p>
        </w:tc>
        <w:tc>
          <w:tcPr>
            <w:tcW w:w="2360" w:type="dxa"/>
            <w:tcBorders>
              <w:top w:val="nil"/>
              <w:left w:val="nil"/>
              <w:bottom w:val="single" w:sz="4" w:space="0" w:color="auto"/>
              <w:right w:val="single" w:sz="4" w:space="0" w:color="auto"/>
            </w:tcBorders>
            <w:shd w:val="clear" w:color="auto" w:fill="auto"/>
            <w:vAlign w:val="center"/>
            <w:hideMark/>
          </w:tcPr>
          <w:p w14:paraId="0D04F98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Need for care or support</w:t>
            </w:r>
          </w:p>
        </w:tc>
        <w:tc>
          <w:tcPr>
            <w:tcW w:w="2680" w:type="dxa"/>
            <w:tcBorders>
              <w:top w:val="nil"/>
              <w:left w:val="nil"/>
              <w:bottom w:val="single" w:sz="4" w:space="0" w:color="auto"/>
              <w:right w:val="single" w:sz="4" w:space="0" w:color="auto"/>
            </w:tcBorders>
            <w:shd w:val="clear" w:color="auto" w:fill="auto"/>
            <w:vAlign w:val="center"/>
            <w:hideMark/>
          </w:tcPr>
          <w:p w14:paraId="12E46690"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c>
          <w:tcPr>
            <w:tcW w:w="1040" w:type="dxa"/>
            <w:tcBorders>
              <w:top w:val="nil"/>
              <w:left w:val="nil"/>
              <w:bottom w:val="single" w:sz="4" w:space="0" w:color="auto"/>
              <w:right w:val="single" w:sz="4" w:space="0" w:color="auto"/>
            </w:tcBorders>
            <w:shd w:val="clear" w:color="auto" w:fill="auto"/>
            <w:vAlign w:val="center"/>
            <w:hideMark/>
          </w:tcPr>
          <w:p w14:paraId="5F3F6B97"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 </w:t>
            </w:r>
          </w:p>
        </w:tc>
        <w:tc>
          <w:tcPr>
            <w:tcW w:w="2600" w:type="dxa"/>
            <w:tcBorders>
              <w:top w:val="nil"/>
              <w:left w:val="nil"/>
              <w:bottom w:val="single" w:sz="4" w:space="0" w:color="auto"/>
              <w:right w:val="single" w:sz="4" w:space="0" w:color="auto"/>
            </w:tcBorders>
            <w:shd w:val="clear" w:color="auto" w:fill="auto"/>
            <w:vAlign w:val="center"/>
            <w:hideMark/>
          </w:tcPr>
          <w:p w14:paraId="1F0F726C" w14:textId="77777777" w:rsidR="00EE4BF0" w:rsidRPr="00E85D55" w:rsidRDefault="00EE4BF0" w:rsidP="007D1DAE">
            <w:pPr>
              <w:spacing w:after="0" w:line="480" w:lineRule="auto"/>
              <w:jc w:val="center"/>
              <w:rPr>
                <w:rFonts w:ascii="Times New Roman" w:eastAsia="Times New Roman" w:hAnsi="Times New Roman"/>
                <w:color w:val="000000"/>
                <w:sz w:val="20"/>
                <w:szCs w:val="20"/>
                <w:lang w:val="en-GB" w:eastAsia="fr-FR"/>
              </w:rPr>
            </w:pPr>
            <w:r w:rsidRPr="00E85D55">
              <w:rPr>
                <w:rFonts w:ascii="Times New Roman" w:eastAsia="Times New Roman" w:hAnsi="Times New Roman"/>
                <w:color w:val="000000"/>
                <w:sz w:val="20"/>
                <w:szCs w:val="20"/>
                <w:lang w:val="en-GB" w:eastAsia="fr-FR"/>
              </w:rPr>
              <w:t>NA</w:t>
            </w:r>
          </w:p>
        </w:tc>
      </w:tr>
    </w:tbl>
    <w:p w14:paraId="1AACE38E" w14:textId="77777777" w:rsidR="00EE4BF0" w:rsidRPr="00E85D55" w:rsidRDefault="00EE4BF0" w:rsidP="00EE4BF0">
      <w:pPr>
        <w:spacing w:after="0" w:line="480" w:lineRule="auto"/>
        <w:jc w:val="both"/>
        <w:rPr>
          <w:rFonts w:ascii="Times New Roman" w:hAnsi="Times New Roman"/>
          <w:b/>
          <w:sz w:val="20"/>
          <w:szCs w:val="20"/>
          <w:lang w:val="en-GB"/>
        </w:rPr>
      </w:pPr>
      <w:r>
        <w:rPr>
          <w:rFonts w:ascii="Times New Roman" w:hAnsi="Times New Roman"/>
          <w:b/>
          <w:sz w:val="20"/>
          <w:szCs w:val="20"/>
          <w:lang w:val="en-GB"/>
        </w:rPr>
        <w:t>Notes:</w:t>
      </w:r>
    </w:p>
    <w:p w14:paraId="75A26EFD" w14:textId="77777777" w:rsidR="00EE4BF0" w:rsidRPr="00E85D55" w:rsidRDefault="00EE4BF0" w:rsidP="00EE4BF0">
      <w:pPr>
        <w:spacing w:after="0" w:line="480" w:lineRule="auto"/>
        <w:jc w:val="both"/>
        <w:rPr>
          <w:rFonts w:ascii="Times New Roman" w:hAnsi="Times New Roman"/>
          <w:sz w:val="20"/>
          <w:szCs w:val="20"/>
          <w:lang w:val="en-GB"/>
        </w:rPr>
      </w:pPr>
    </w:p>
    <w:p w14:paraId="7388C6C9" w14:textId="77777777" w:rsidR="00EE4BF0" w:rsidRPr="00E85D55" w:rsidRDefault="00EE4BF0" w:rsidP="00EE4BF0">
      <w:pPr>
        <w:spacing w:after="0" w:line="480" w:lineRule="auto"/>
        <w:jc w:val="both"/>
        <w:rPr>
          <w:rFonts w:ascii="Times New Roman" w:hAnsi="Times New Roman"/>
          <w:b/>
          <w:sz w:val="20"/>
          <w:szCs w:val="20"/>
        </w:rPr>
      </w:pPr>
    </w:p>
    <w:p w14:paraId="613EF5FE" w14:textId="77777777" w:rsidR="00EE4BF0" w:rsidRPr="00E85D55" w:rsidRDefault="00EE4BF0" w:rsidP="00EE4BF0">
      <w:pPr>
        <w:spacing w:after="0" w:line="480" w:lineRule="auto"/>
        <w:jc w:val="both"/>
        <w:rPr>
          <w:rFonts w:ascii="Times New Roman" w:hAnsi="Times New Roman"/>
          <w:b/>
          <w:sz w:val="20"/>
          <w:szCs w:val="20"/>
        </w:rPr>
        <w:sectPr w:rsidR="00EE4BF0" w:rsidRPr="00E85D55" w:rsidSect="00E027B9">
          <w:pgSz w:w="16838" w:h="11906" w:orient="landscape"/>
          <w:pgMar w:top="1134" w:right="1417" w:bottom="1133" w:left="1417" w:header="708" w:footer="708" w:gutter="0"/>
          <w:cols w:space="708"/>
          <w:docGrid w:linePitch="360"/>
        </w:sectPr>
      </w:pPr>
    </w:p>
    <w:p w14:paraId="476FFD8B" w14:textId="77777777" w:rsidR="00EE4BF0" w:rsidRPr="00E85D55" w:rsidRDefault="00EE4BF0" w:rsidP="00EE4BF0">
      <w:pPr>
        <w:spacing w:after="0" w:line="480" w:lineRule="auto"/>
        <w:jc w:val="both"/>
        <w:rPr>
          <w:rFonts w:ascii="Times New Roman" w:hAnsi="Times New Roman"/>
          <w:b/>
          <w:sz w:val="20"/>
          <w:szCs w:val="20"/>
          <w:lang w:val="en-GB"/>
        </w:rPr>
      </w:pPr>
      <w:r w:rsidRPr="00E85D55">
        <w:rPr>
          <w:rFonts w:ascii="Times New Roman" w:hAnsi="Times New Roman"/>
          <w:b/>
          <w:sz w:val="20"/>
          <w:szCs w:val="20"/>
          <w:lang w:val="en-GB"/>
        </w:rPr>
        <w:lastRenderedPageBreak/>
        <w:t xml:space="preserve">Appendix </w:t>
      </w:r>
      <w:r>
        <w:rPr>
          <w:rFonts w:ascii="Times New Roman" w:hAnsi="Times New Roman"/>
          <w:b/>
          <w:sz w:val="20"/>
          <w:szCs w:val="20"/>
          <w:lang w:val="en-GB"/>
        </w:rPr>
        <w:t>A.5</w:t>
      </w:r>
      <w:r w:rsidRPr="00E85D55">
        <w:rPr>
          <w:rFonts w:ascii="Times New Roman" w:hAnsi="Times New Roman"/>
          <w:b/>
          <w:sz w:val="20"/>
          <w:szCs w:val="20"/>
          <w:lang w:val="en-GB"/>
        </w:rPr>
        <w:t xml:space="preserve">: Geographical distribution of studies </w:t>
      </w:r>
    </w:p>
    <w:p w14:paraId="2E5EA965" w14:textId="77777777" w:rsidR="00EE4BF0" w:rsidRPr="00E85D55" w:rsidRDefault="00EE4BF0" w:rsidP="00EE4BF0">
      <w:pPr>
        <w:spacing w:after="0" w:line="480" w:lineRule="auto"/>
        <w:jc w:val="both"/>
        <w:rPr>
          <w:rFonts w:ascii="Times New Roman" w:hAnsi="Times New Roman"/>
          <w:sz w:val="20"/>
          <w:szCs w:val="20"/>
          <w:lang w:val="en-GB"/>
        </w:rPr>
      </w:pPr>
    </w:p>
    <w:tbl>
      <w:tblPr>
        <w:tblStyle w:val="Grilledutableau"/>
        <w:tblW w:w="0" w:type="auto"/>
        <w:jc w:val="center"/>
        <w:tblLook w:val="04A0" w:firstRow="1" w:lastRow="0" w:firstColumn="1" w:lastColumn="0" w:noHBand="0" w:noVBand="1"/>
      </w:tblPr>
      <w:tblGrid>
        <w:gridCol w:w="2131"/>
        <w:gridCol w:w="1978"/>
      </w:tblGrid>
      <w:tr w:rsidR="00EE4BF0" w:rsidRPr="00646ABB" w14:paraId="7B478D0B" w14:textId="77777777" w:rsidTr="007D1DAE">
        <w:trPr>
          <w:trHeight w:val="753"/>
          <w:jc w:val="center"/>
        </w:trPr>
        <w:tc>
          <w:tcPr>
            <w:tcW w:w="4109" w:type="dxa"/>
            <w:gridSpan w:val="2"/>
            <w:tcBorders>
              <w:top w:val="nil"/>
              <w:left w:val="nil"/>
              <w:right w:val="nil"/>
            </w:tcBorders>
            <w:shd w:val="clear" w:color="auto" w:fill="auto"/>
          </w:tcPr>
          <w:p w14:paraId="009550C0" w14:textId="77777777" w:rsidR="00EE4BF0" w:rsidRPr="00E85D55" w:rsidRDefault="00EE4BF0" w:rsidP="007D1DAE">
            <w:pPr>
              <w:spacing w:after="0" w:line="480" w:lineRule="auto"/>
              <w:jc w:val="center"/>
              <w:rPr>
                <w:rFonts w:ascii="Times New Roman" w:hAnsi="Times New Roman"/>
                <w:sz w:val="20"/>
                <w:szCs w:val="20"/>
                <w:u w:val="single"/>
                <w:lang w:val="en-GB"/>
              </w:rPr>
            </w:pPr>
            <w:r w:rsidRPr="00E85D55">
              <w:rPr>
                <w:rFonts w:ascii="Times New Roman" w:hAnsi="Times New Roman"/>
                <w:sz w:val="20"/>
                <w:szCs w:val="20"/>
                <w:u w:val="single"/>
                <w:lang w:val="en-GB"/>
              </w:rPr>
              <w:t xml:space="preserve">Table </w:t>
            </w:r>
            <w:r>
              <w:rPr>
                <w:rFonts w:ascii="Times New Roman" w:hAnsi="Times New Roman"/>
                <w:sz w:val="20"/>
                <w:szCs w:val="20"/>
                <w:u w:val="single"/>
                <w:lang w:val="en-GB"/>
              </w:rPr>
              <w:t>A.5</w:t>
            </w:r>
            <w:r w:rsidRPr="00E85D55">
              <w:rPr>
                <w:rFonts w:ascii="Times New Roman" w:hAnsi="Times New Roman"/>
                <w:sz w:val="20"/>
                <w:szCs w:val="20"/>
                <w:u w:val="single"/>
                <w:lang w:val="en-GB"/>
              </w:rPr>
              <w:t>.1 : studies’ country of origin</w:t>
            </w:r>
          </w:p>
        </w:tc>
      </w:tr>
      <w:tr w:rsidR="00EE4BF0" w:rsidRPr="00646ABB" w14:paraId="1E87C009" w14:textId="77777777" w:rsidTr="007D1DAE">
        <w:trPr>
          <w:trHeight w:val="1139"/>
          <w:jc w:val="center"/>
        </w:trPr>
        <w:tc>
          <w:tcPr>
            <w:tcW w:w="2131" w:type="dxa"/>
            <w:shd w:val="clear" w:color="auto" w:fill="8EAADB" w:themeFill="accent1" w:themeFillTint="99"/>
          </w:tcPr>
          <w:p w14:paraId="02FAE127" w14:textId="77777777" w:rsidR="00EE4BF0" w:rsidRPr="00E85D55" w:rsidRDefault="00EE4BF0" w:rsidP="007D1DAE">
            <w:pPr>
              <w:spacing w:after="0" w:line="480" w:lineRule="auto"/>
              <w:jc w:val="center"/>
              <w:rPr>
                <w:rFonts w:ascii="Times New Roman" w:hAnsi="Times New Roman"/>
                <w:color w:val="404040" w:themeColor="text1" w:themeTint="BF"/>
                <w:sz w:val="20"/>
                <w:szCs w:val="20"/>
                <w:lang w:val="en-GB"/>
              </w:rPr>
            </w:pPr>
            <w:r w:rsidRPr="00E85D55">
              <w:rPr>
                <w:rFonts w:ascii="Times New Roman" w:hAnsi="Times New Roman"/>
                <w:sz w:val="20"/>
                <w:szCs w:val="20"/>
                <w:lang w:val="en-GB"/>
              </w:rPr>
              <w:t>Country</w:t>
            </w:r>
          </w:p>
        </w:tc>
        <w:tc>
          <w:tcPr>
            <w:tcW w:w="1978" w:type="dxa"/>
            <w:shd w:val="clear" w:color="auto" w:fill="8EAADB" w:themeFill="accent1" w:themeFillTint="99"/>
          </w:tcPr>
          <w:p w14:paraId="6D9C4173"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No. of  publications per country</w:t>
            </w:r>
          </w:p>
        </w:tc>
      </w:tr>
      <w:tr w:rsidR="00EE4BF0" w:rsidRPr="00E85D55" w14:paraId="0DACA34F" w14:textId="77777777" w:rsidTr="007D1DAE">
        <w:trPr>
          <w:trHeight w:val="368"/>
          <w:jc w:val="center"/>
        </w:trPr>
        <w:tc>
          <w:tcPr>
            <w:tcW w:w="2131" w:type="dxa"/>
          </w:tcPr>
          <w:p w14:paraId="58DEC8FF"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Netherlands</w:t>
            </w:r>
          </w:p>
        </w:tc>
        <w:tc>
          <w:tcPr>
            <w:tcW w:w="1978" w:type="dxa"/>
          </w:tcPr>
          <w:p w14:paraId="75D1D386"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3</w:t>
            </w:r>
          </w:p>
        </w:tc>
      </w:tr>
      <w:tr w:rsidR="00EE4BF0" w:rsidRPr="00E85D55" w14:paraId="351B1E66" w14:textId="77777777" w:rsidTr="007D1DAE">
        <w:trPr>
          <w:trHeight w:val="368"/>
          <w:jc w:val="center"/>
        </w:trPr>
        <w:tc>
          <w:tcPr>
            <w:tcW w:w="2131" w:type="dxa"/>
          </w:tcPr>
          <w:p w14:paraId="3301C945"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USA</w:t>
            </w:r>
          </w:p>
        </w:tc>
        <w:tc>
          <w:tcPr>
            <w:tcW w:w="1978" w:type="dxa"/>
          </w:tcPr>
          <w:p w14:paraId="66931F0D"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2</w:t>
            </w:r>
          </w:p>
        </w:tc>
      </w:tr>
      <w:tr w:rsidR="00EE4BF0" w:rsidRPr="00E85D55" w14:paraId="249311A3" w14:textId="77777777" w:rsidTr="007D1DAE">
        <w:trPr>
          <w:trHeight w:val="385"/>
          <w:jc w:val="center"/>
        </w:trPr>
        <w:tc>
          <w:tcPr>
            <w:tcW w:w="2131" w:type="dxa"/>
          </w:tcPr>
          <w:p w14:paraId="6C69FF60"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Canada</w:t>
            </w:r>
          </w:p>
        </w:tc>
        <w:tc>
          <w:tcPr>
            <w:tcW w:w="1978" w:type="dxa"/>
          </w:tcPr>
          <w:p w14:paraId="3976FB4A"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2</w:t>
            </w:r>
          </w:p>
        </w:tc>
      </w:tr>
      <w:tr w:rsidR="00EE4BF0" w:rsidRPr="00E85D55" w14:paraId="63457C17" w14:textId="77777777" w:rsidTr="007D1DAE">
        <w:trPr>
          <w:trHeight w:val="368"/>
          <w:jc w:val="center"/>
        </w:trPr>
        <w:tc>
          <w:tcPr>
            <w:tcW w:w="2131" w:type="dxa"/>
          </w:tcPr>
          <w:p w14:paraId="39186631"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Australia</w:t>
            </w:r>
          </w:p>
        </w:tc>
        <w:tc>
          <w:tcPr>
            <w:tcW w:w="1978" w:type="dxa"/>
          </w:tcPr>
          <w:p w14:paraId="781546AE"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2</w:t>
            </w:r>
          </w:p>
        </w:tc>
      </w:tr>
      <w:tr w:rsidR="00EE4BF0" w:rsidRPr="00E85D55" w14:paraId="4BD7546C" w14:textId="77777777" w:rsidTr="007D1DAE">
        <w:trPr>
          <w:trHeight w:val="368"/>
          <w:jc w:val="center"/>
        </w:trPr>
        <w:tc>
          <w:tcPr>
            <w:tcW w:w="2131" w:type="dxa"/>
          </w:tcPr>
          <w:p w14:paraId="7BB67A5C"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Belgium</w:t>
            </w:r>
          </w:p>
        </w:tc>
        <w:tc>
          <w:tcPr>
            <w:tcW w:w="1978" w:type="dxa"/>
          </w:tcPr>
          <w:p w14:paraId="22810CDE"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2</w:t>
            </w:r>
          </w:p>
        </w:tc>
      </w:tr>
      <w:tr w:rsidR="00EE4BF0" w:rsidRPr="00E85D55" w14:paraId="6EAC2109" w14:textId="77777777" w:rsidTr="007D1DAE">
        <w:trPr>
          <w:trHeight w:val="368"/>
          <w:jc w:val="center"/>
        </w:trPr>
        <w:tc>
          <w:tcPr>
            <w:tcW w:w="2131" w:type="dxa"/>
          </w:tcPr>
          <w:p w14:paraId="1ECEA0C8"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France</w:t>
            </w:r>
          </w:p>
        </w:tc>
        <w:tc>
          <w:tcPr>
            <w:tcW w:w="1978" w:type="dxa"/>
          </w:tcPr>
          <w:p w14:paraId="77FAE18F"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2</w:t>
            </w:r>
          </w:p>
        </w:tc>
      </w:tr>
      <w:tr w:rsidR="00EE4BF0" w:rsidRPr="00E85D55" w14:paraId="292A1FDC" w14:textId="77777777" w:rsidTr="007D1DAE">
        <w:trPr>
          <w:trHeight w:val="385"/>
          <w:jc w:val="center"/>
        </w:trPr>
        <w:tc>
          <w:tcPr>
            <w:tcW w:w="2131" w:type="dxa"/>
          </w:tcPr>
          <w:p w14:paraId="5C7C3A4C"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Germany</w:t>
            </w:r>
          </w:p>
        </w:tc>
        <w:tc>
          <w:tcPr>
            <w:tcW w:w="1978" w:type="dxa"/>
          </w:tcPr>
          <w:p w14:paraId="24D56255"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2</w:t>
            </w:r>
          </w:p>
        </w:tc>
      </w:tr>
      <w:tr w:rsidR="00EE4BF0" w:rsidRPr="00E85D55" w14:paraId="7BA57191" w14:textId="77777777" w:rsidTr="007D1DAE">
        <w:trPr>
          <w:trHeight w:val="368"/>
          <w:jc w:val="center"/>
        </w:trPr>
        <w:tc>
          <w:tcPr>
            <w:tcW w:w="2131" w:type="dxa"/>
          </w:tcPr>
          <w:p w14:paraId="5015119D"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Ireland</w:t>
            </w:r>
          </w:p>
        </w:tc>
        <w:tc>
          <w:tcPr>
            <w:tcW w:w="1978" w:type="dxa"/>
          </w:tcPr>
          <w:p w14:paraId="535193F1"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1</w:t>
            </w:r>
          </w:p>
        </w:tc>
      </w:tr>
      <w:tr w:rsidR="00EE4BF0" w:rsidRPr="00E85D55" w14:paraId="3AE82734" w14:textId="77777777" w:rsidTr="007D1DAE">
        <w:trPr>
          <w:trHeight w:val="385"/>
          <w:jc w:val="center"/>
        </w:trPr>
        <w:tc>
          <w:tcPr>
            <w:tcW w:w="2131" w:type="dxa"/>
          </w:tcPr>
          <w:p w14:paraId="1502D2E5"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Israel</w:t>
            </w:r>
          </w:p>
        </w:tc>
        <w:tc>
          <w:tcPr>
            <w:tcW w:w="1978" w:type="dxa"/>
          </w:tcPr>
          <w:p w14:paraId="2861618D" w14:textId="77777777" w:rsidR="00EE4BF0" w:rsidRPr="00E85D55" w:rsidRDefault="00EE4BF0" w:rsidP="007D1DAE">
            <w:pPr>
              <w:spacing w:after="0" w:line="480" w:lineRule="auto"/>
              <w:jc w:val="both"/>
              <w:rPr>
                <w:rFonts w:ascii="Times New Roman" w:hAnsi="Times New Roman"/>
                <w:color w:val="404040" w:themeColor="text1" w:themeTint="BF"/>
                <w:sz w:val="20"/>
                <w:szCs w:val="20"/>
                <w:lang w:val="en-GB"/>
              </w:rPr>
            </w:pPr>
            <w:r w:rsidRPr="00E85D55">
              <w:rPr>
                <w:rFonts w:ascii="Times New Roman" w:hAnsi="Times New Roman"/>
                <w:sz w:val="20"/>
                <w:szCs w:val="20"/>
                <w:lang w:val="en-GB"/>
              </w:rPr>
              <w:t>1</w:t>
            </w:r>
          </w:p>
        </w:tc>
      </w:tr>
    </w:tbl>
    <w:p w14:paraId="7734CC94" w14:textId="77777777" w:rsidR="00EE4BF0" w:rsidRPr="00E85D55" w:rsidRDefault="00EE4BF0" w:rsidP="00EE4BF0">
      <w:pPr>
        <w:spacing w:after="0" w:line="480" w:lineRule="auto"/>
        <w:jc w:val="both"/>
        <w:rPr>
          <w:rFonts w:ascii="Times New Roman" w:hAnsi="Times New Roman"/>
          <w:sz w:val="20"/>
          <w:szCs w:val="20"/>
          <w:lang w:val="en-GB"/>
        </w:rPr>
      </w:pPr>
    </w:p>
    <w:p w14:paraId="3F99500A" w14:textId="77777777" w:rsidR="00EE4BF0" w:rsidRDefault="00EE4BF0" w:rsidP="00EE4BF0">
      <w:pPr>
        <w:spacing w:after="0" w:line="480" w:lineRule="auto"/>
        <w:rPr>
          <w:rFonts w:ascii="Times New Roman" w:hAnsi="Times New Roman"/>
          <w:sz w:val="20"/>
          <w:szCs w:val="20"/>
          <w:lang w:val="en-GB"/>
        </w:rPr>
      </w:pPr>
      <w:r w:rsidRPr="00E85D55">
        <w:rPr>
          <w:rFonts w:ascii="Times New Roman" w:hAnsi="Times New Roman"/>
          <w:sz w:val="20"/>
          <w:szCs w:val="20"/>
          <w:lang w:val="en-GB"/>
        </w:rPr>
        <w:br w:type="page"/>
      </w:r>
    </w:p>
    <w:p w14:paraId="77A0564A" w14:textId="77777777" w:rsidR="00EE4BF0" w:rsidRDefault="00EE4BF0" w:rsidP="00EE4BF0">
      <w:pPr>
        <w:spacing w:after="0" w:line="360" w:lineRule="auto"/>
        <w:jc w:val="center"/>
        <w:rPr>
          <w:rFonts w:ascii="Times New Roman" w:hAnsi="Times New Roman"/>
          <w:lang w:val="en-GB"/>
        </w:rPr>
      </w:pPr>
      <w:r>
        <w:rPr>
          <w:rFonts w:ascii="Times New Roman" w:hAnsi="Times New Roman"/>
          <w:lang w:val="en-GB"/>
        </w:rPr>
        <w:lastRenderedPageBreak/>
        <w:t>Figure A.5.1. Map of the geographical distribution of the 17 reviewed articles</w:t>
      </w:r>
    </w:p>
    <w:p w14:paraId="5D1B39BC" w14:textId="77777777" w:rsidR="00EE4BF0" w:rsidRDefault="00EE4BF0" w:rsidP="00EE4BF0">
      <w:pPr>
        <w:spacing w:after="0" w:line="360" w:lineRule="auto"/>
        <w:jc w:val="both"/>
        <w:rPr>
          <w:rFonts w:ascii="Times New Roman" w:hAnsi="Times New Roman"/>
          <w:lang w:val="en-GB"/>
        </w:rPr>
      </w:pPr>
      <w:r w:rsidRPr="0041025A">
        <w:rPr>
          <w:rFonts w:ascii="Times New Roman" w:hAnsi="Times New Roman"/>
          <w:noProof/>
          <w:lang w:eastAsia="fr-FR"/>
        </w:rPr>
        <w:drawing>
          <wp:inline distT="0" distB="0" distL="0" distR="0" wp14:anchorId="3D1B000A" wp14:editId="4FDD654F">
            <wp:extent cx="5756910" cy="5425440"/>
            <wp:effectExtent l="0" t="0" r="889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4- Map of studies.png"/>
                    <pic:cNvPicPr/>
                  </pic:nvPicPr>
                  <pic:blipFill>
                    <a:blip r:embed="rId15">
                      <a:extLst>
                        <a:ext uri="{28A0092B-C50C-407E-A947-70E740481C1C}">
                          <a14:useLocalDpi xmlns:a14="http://schemas.microsoft.com/office/drawing/2010/main" val="0"/>
                        </a:ext>
                      </a:extLst>
                    </a:blip>
                    <a:stretch>
                      <a:fillRect/>
                    </a:stretch>
                  </pic:blipFill>
                  <pic:spPr>
                    <a:xfrm>
                      <a:off x="0" y="0"/>
                      <a:ext cx="5756910" cy="5425440"/>
                    </a:xfrm>
                    <a:prstGeom prst="rect">
                      <a:avLst/>
                    </a:prstGeom>
                  </pic:spPr>
                </pic:pic>
              </a:graphicData>
            </a:graphic>
          </wp:inline>
        </w:drawing>
      </w:r>
    </w:p>
    <w:p w14:paraId="7882CE04" w14:textId="77777777" w:rsidR="00EE4BF0" w:rsidRPr="009748EF" w:rsidRDefault="00EE4BF0" w:rsidP="00EE4BF0">
      <w:pPr>
        <w:spacing w:after="0" w:line="360" w:lineRule="auto"/>
        <w:jc w:val="both"/>
        <w:rPr>
          <w:rFonts w:ascii="Times New Roman" w:hAnsi="Times New Roman"/>
          <w:lang w:val="en-GB"/>
        </w:rPr>
      </w:pPr>
    </w:p>
    <w:p w14:paraId="4D265ECC" w14:textId="77777777" w:rsidR="00EE4BF0" w:rsidRPr="009748EF" w:rsidRDefault="00EE4BF0" w:rsidP="00EE4BF0">
      <w:pPr>
        <w:spacing w:after="0" w:line="360" w:lineRule="auto"/>
        <w:jc w:val="both"/>
        <w:rPr>
          <w:rFonts w:ascii="Times New Roman" w:hAnsi="Times New Roman"/>
          <w:lang w:val="en-GB"/>
        </w:rPr>
      </w:pPr>
      <w:r w:rsidRPr="009748EF">
        <w:rPr>
          <w:rFonts w:ascii="Times New Roman" w:hAnsi="Times New Roman"/>
          <w:lang w:val="en-GB"/>
        </w:rPr>
        <w:t>Legend number of articles. Min = 0, max =3</w:t>
      </w:r>
    </w:p>
    <w:p w14:paraId="0C633406" w14:textId="77777777" w:rsidR="00EE4BF0" w:rsidRPr="00EE4BF0" w:rsidRDefault="00EE4BF0">
      <w:pPr>
        <w:rPr>
          <w:lang w:val="en-GB"/>
        </w:rPr>
      </w:pPr>
    </w:p>
    <w:sectPr w:rsidR="00EE4BF0" w:rsidRPr="00EE4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642"/>
    <w:multiLevelType w:val="hybridMultilevel"/>
    <w:tmpl w:val="E3C46372"/>
    <w:lvl w:ilvl="0" w:tplc="8E2A68A4">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26218F0"/>
    <w:multiLevelType w:val="hybridMultilevel"/>
    <w:tmpl w:val="34E80722"/>
    <w:lvl w:ilvl="0" w:tplc="107242A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C1998"/>
    <w:multiLevelType w:val="hybridMultilevel"/>
    <w:tmpl w:val="2E587388"/>
    <w:lvl w:ilvl="0" w:tplc="BE8A6BE2">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089024B5"/>
    <w:multiLevelType w:val="hybridMultilevel"/>
    <w:tmpl w:val="2DB873B6"/>
    <w:lvl w:ilvl="0" w:tplc="4CEC8DC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4677FD"/>
    <w:multiLevelType w:val="hybridMultilevel"/>
    <w:tmpl w:val="25385A4E"/>
    <w:lvl w:ilvl="0" w:tplc="EC2AA6B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8D0005"/>
    <w:multiLevelType w:val="hybridMultilevel"/>
    <w:tmpl w:val="20C464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456E8C"/>
    <w:multiLevelType w:val="multilevel"/>
    <w:tmpl w:val="2862879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BB38BA"/>
    <w:multiLevelType w:val="hybridMultilevel"/>
    <w:tmpl w:val="EDB024DA"/>
    <w:lvl w:ilvl="0" w:tplc="CA7A68CC">
      <w:start w:val="5"/>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4354A9"/>
    <w:multiLevelType w:val="hybridMultilevel"/>
    <w:tmpl w:val="5BDC8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3325B6"/>
    <w:multiLevelType w:val="hybridMultilevel"/>
    <w:tmpl w:val="DE88C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737766"/>
    <w:multiLevelType w:val="hybridMultilevel"/>
    <w:tmpl w:val="F420260C"/>
    <w:lvl w:ilvl="0" w:tplc="9A2C159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7D2C18"/>
    <w:multiLevelType w:val="multilevel"/>
    <w:tmpl w:val="DD860B16"/>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C4F282D"/>
    <w:multiLevelType w:val="hybridMultilevel"/>
    <w:tmpl w:val="54A81BA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906974"/>
    <w:multiLevelType w:val="multilevel"/>
    <w:tmpl w:val="8FF4228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11"/>
  </w:num>
  <w:num w:numId="4">
    <w:abstractNumId w:val="0"/>
  </w:num>
  <w:num w:numId="5">
    <w:abstractNumId w:val="2"/>
  </w:num>
  <w:num w:numId="6">
    <w:abstractNumId w:val="12"/>
  </w:num>
  <w:num w:numId="7">
    <w:abstractNumId w:val="13"/>
  </w:num>
  <w:num w:numId="8">
    <w:abstractNumId w:val="8"/>
  </w:num>
  <w:num w:numId="9">
    <w:abstractNumId w:val="9"/>
  </w:num>
  <w:num w:numId="10">
    <w:abstractNumId w:val="5"/>
  </w:num>
  <w:num w:numId="11">
    <w:abstractNumId w:val="7"/>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F0"/>
    <w:rsid w:val="00EE4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174793"/>
  <w15:chartTrackingRefBased/>
  <w15:docId w15:val="{DECEA779-0608-124F-92A0-212A5D4A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F0"/>
    <w:pPr>
      <w:spacing w:after="200" w:line="276" w:lineRule="auto"/>
    </w:pPr>
    <w:rPr>
      <w:rFonts w:ascii="Calibri" w:eastAsia="Calibri" w:hAnsi="Calibri" w:cs="Times New Roman"/>
      <w:sz w:val="22"/>
      <w:szCs w:val="22"/>
    </w:rPr>
  </w:style>
  <w:style w:type="paragraph" w:styleId="Titre1">
    <w:name w:val="heading 1"/>
    <w:basedOn w:val="Normal"/>
    <w:link w:val="Titre1Car"/>
    <w:uiPriority w:val="9"/>
    <w:qFormat/>
    <w:rsid w:val="00EE4BF0"/>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next w:val="Normal"/>
    <w:link w:val="Titre2Car"/>
    <w:semiHidden/>
    <w:unhideWhenUsed/>
    <w:qFormat/>
    <w:rsid w:val="00EE4B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4BF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semiHidden/>
    <w:rsid w:val="00EE4BF0"/>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unhideWhenUsed/>
    <w:rsid w:val="00EE4BF0"/>
    <w:pPr>
      <w:spacing w:after="0" w:line="240" w:lineRule="auto"/>
    </w:pPr>
    <w:rPr>
      <w:sz w:val="20"/>
      <w:szCs w:val="20"/>
    </w:rPr>
  </w:style>
  <w:style w:type="character" w:customStyle="1" w:styleId="NotedebasdepageCar">
    <w:name w:val="Note de bas de page Car"/>
    <w:basedOn w:val="Policepardfaut"/>
    <w:link w:val="Notedebasdepage"/>
    <w:uiPriority w:val="99"/>
    <w:rsid w:val="00EE4BF0"/>
    <w:rPr>
      <w:rFonts w:ascii="Calibri" w:eastAsia="Calibri" w:hAnsi="Calibri" w:cs="Times New Roman"/>
      <w:sz w:val="20"/>
      <w:szCs w:val="20"/>
    </w:rPr>
  </w:style>
  <w:style w:type="character" w:styleId="Appelnotedebasdep">
    <w:name w:val="footnote reference"/>
    <w:uiPriority w:val="99"/>
    <w:unhideWhenUsed/>
    <w:rsid w:val="00EE4BF0"/>
    <w:rPr>
      <w:vertAlign w:val="superscript"/>
    </w:rPr>
  </w:style>
  <w:style w:type="character" w:styleId="Marquedecommentaire">
    <w:name w:val="annotation reference"/>
    <w:uiPriority w:val="99"/>
    <w:unhideWhenUsed/>
    <w:rsid w:val="00EE4BF0"/>
    <w:rPr>
      <w:sz w:val="16"/>
      <w:szCs w:val="16"/>
    </w:rPr>
  </w:style>
  <w:style w:type="paragraph" w:styleId="Commentaire">
    <w:name w:val="annotation text"/>
    <w:basedOn w:val="Normal"/>
    <w:link w:val="CommentaireCar"/>
    <w:uiPriority w:val="99"/>
    <w:unhideWhenUsed/>
    <w:rsid w:val="00EE4BF0"/>
    <w:pPr>
      <w:spacing w:line="240" w:lineRule="auto"/>
    </w:pPr>
    <w:rPr>
      <w:sz w:val="20"/>
      <w:szCs w:val="20"/>
    </w:rPr>
  </w:style>
  <w:style w:type="character" w:customStyle="1" w:styleId="CommentaireCar">
    <w:name w:val="Commentaire Car"/>
    <w:basedOn w:val="Policepardfaut"/>
    <w:link w:val="Commentaire"/>
    <w:uiPriority w:val="99"/>
    <w:rsid w:val="00EE4BF0"/>
    <w:rPr>
      <w:rFonts w:ascii="Calibri" w:eastAsia="Calibri" w:hAnsi="Calibri" w:cs="Times New Roman"/>
      <w:sz w:val="20"/>
      <w:szCs w:val="20"/>
    </w:rPr>
  </w:style>
  <w:style w:type="paragraph" w:styleId="Textedebulles">
    <w:name w:val="Balloon Text"/>
    <w:basedOn w:val="Normal"/>
    <w:link w:val="TextedebullesCar"/>
    <w:uiPriority w:val="99"/>
    <w:rsid w:val="00EE4B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EE4BF0"/>
    <w:rPr>
      <w:rFonts w:ascii="Segoe UI" w:eastAsia="Calibri" w:hAnsi="Segoe UI" w:cs="Segoe UI"/>
      <w:sz w:val="18"/>
      <w:szCs w:val="18"/>
    </w:rPr>
  </w:style>
  <w:style w:type="paragraph" w:styleId="Bibliographie">
    <w:name w:val="Bibliography"/>
    <w:basedOn w:val="Normal"/>
    <w:next w:val="Normal"/>
    <w:uiPriority w:val="37"/>
    <w:unhideWhenUsed/>
    <w:rsid w:val="00EE4BF0"/>
    <w:pPr>
      <w:tabs>
        <w:tab w:val="left" w:pos="504"/>
      </w:tabs>
      <w:spacing w:after="0" w:line="240" w:lineRule="auto"/>
      <w:ind w:left="504" w:hanging="504"/>
    </w:pPr>
  </w:style>
  <w:style w:type="paragraph" w:styleId="En-tte">
    <w:name w:val="header"/>
    <w:basedOn w:val="Normal"/>
    <w:link w:val="En-tteCar"/>
    <w:unhideWhenUsed/>
    <w:rsid w:val="00EE4BF0"/>
    <w:pPr>
      <w:tabs>
        <w:tab w:val="center" w:pos="4536"/>
        <w:tab w:val="right" w:pos="9072"/>
      </w:tabs>
      <w:spacing w:after="0" w:line="240" w:lineRule="auto"/>
    </w:pPr>
  </w:style>
  <w:style w:type="character" w:customStyle="1" w:styleId="En-tteCar">
    <w:name w:val="En-tête Car"/>
    <w:basedOn w:val="Policepardfaut"/>
    <w:link w:val="En-tte"/>
    <w:rsid w:val="00EE4BF0"/>
    <w:rPr>
      <w:rFonts w:ascii="Calibri" w:eastAsia="Calibri" w:hAnsi="Calibri" w:cs="Times New Roman"/>
      <w:sz w:val="22"/>
      <w:szCs w:val="22"/>
    </w:rPr>
  </w:style>
  <w:style w:type="paragraph" w:styleId="Pieddepage">
    <w:name w:val="footer"/>
    <w:basedOn w:val="Normal"/>
    <w:link w:val="PieddepageCar"/>
    <w:uiPriority w:val="99"/>
    <w:unhideWhenUsed/>
    <w:rsid w:val="00EE4B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BF0"/>
    <w:rPr>
      <w:rFonts w:ascii="Calibri" w:eastAsia="Calibri" w:hAnsi="Calibri" w:cs="Times New Roman"/>
      <w:sz w:val="22"/>
      <w:szCs w:val="22"/>
    </w:rPr>
  </w:style>
  <w:style w:type="paragraph" w:styleId="Paragraphedeliste">
    <w:name w:val="List Paragraph"/>
    <w:basedOn w:val="Normal"/>
    <w:uiPriority w:val="34"/>
    <w:qFormat/>
    <w:rsid w:val="00EE4BF0"/>
    <w:pPr>
      <w:spacing w:after="0" w:line="240" w:lineRule="auto"/>
      <w:ind w:left="720"/>
      <w:contextualSpacing/>
    </w:pPr>
    <w:rPr>
      <w:rFonts w:asciiTheme="minorHAnsi" w:eastAsiaTheme="minorEastAsia" w:hAnsiTheme="minorHAnsi" w:cstheme="minorBidi"/>
      <w:sz w:val="24"/>
      <w:szCs w:val="24"/>
      <w:lang w:eastAsia="fr-FR"/>
    </w:rPr>
  </w:style>
  <w:style w:type="character" w:customStyle="1" w:styleId="ObjetducommentaireCar">
    <w:name w:val="Objet du commentaire Car"/>
    <w:basedOn w:val="CommentaireCar"/>
    <w:link w:val="Objetducommentaire"/>
    <w:uiPriority w:val="99"/>
    <w:semiHidden/>
    <w:rsid w:val="00EE4BF0"/>
    <w:rPr>
      <w:rFonts w:ascii="Calibri" w:eastAsiaTheme="minorEastAsia" w:hAnsi="Calibri" w:cs="Times New Roman"/>
      <w:b/>
      <w:bCs/>
      <w:sz w:val="20"/>
      <w:szCs w:val="20"/>
    </w:rPr>
  </w:style>
  <w:style w:type="paragraph" w:styleId="Objetducommentaire">
    <w:name w:val="annotation subject"/>
    <w:basedOn w:val="Commentaire"/>
    <w:next w:val="Commentaire"/>
    <w:link w:val="ObjetducommentaireCar"/>
    <w:uiPriority w:val="99"/>
    <w:semiHidden/>
    <w:unhideWhenUsed/>
    <w:rsid w:val="00EE4BF0"/>
    <w:pPr>
      <w:spacing w:after="0"/>
    </w:pPr>
    <w:rPr>
      <w:rFonts w:asciiTheme="minorHAnsi" w:eastAsiaTheme="minorEastAsia" w:hAnsiTheme="minorHAnsi" w:cstheme="minorBidi"/>
      <w:b/>
      <w:bCs/>
    </w:rPr>
  </w:style>
  <w:style w:type="character" w:customStyle="1" w:styleId="ObjetducommentaireCar1">
    <w:name w:val="Objet du commentaire Car1"/>
    <w:basedOn w:val="CommentaireCar"/>
    <w:uiPriority w:val="99"/>
    <w:semiHidden/>
    <w:rsid w:val="00EE4BF0"/>
    <w:rPr>
      <w:rFonts w:ascii="Calibri" w:eastAsia="Calibri" w:hAnsi="Calibri" w:cs="Times New Roman"/>
      <w:b/>
      <w:bCs/>
      <w:sz w:val="20"/>
      <w:szCs w:val="20"/>
    </w:rPr>
  </w:style>
  <w:style w:type="table" w:styleId="Grilledutableau">
    <w:name w:val="Table Grid"/>
    <w:basedOn w:val="TableauNormal"/>
    <w:uiPriority w:val="59"/>
    <w:rsid w:val="00EE4BF0"/>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E4BF0"/>
    <w:rPr>
      <w:rFonts w:eastAsiaTheme="minorEastAsia"/>
      <w:lang w:eastAsia="fr-FR"/>
    </w:rPr>
  </w:style>
  <w:style w:type="paragraph" w:styleId="Textebrut">
    <w:name w:val="Plain Text"/>
    <w:basedOn w:val="Normal"/>
    <w:link w:val="TextebrutCar"/>
    <w:uiPriority w:val="99"/>
    <w:unhideWhenUsed/>
    <w:rsid w:val="00EE4BF0"/>
    <w:pPr>
      <w:spacing w:after="0" w:line="240" w:lineRule="auto"/>
    </w:pPr>
    <w:rPr>
      <w:rFonts w:ascii="Courier" w:eastAsiaTheme="minorEastAsia" w:hAnsi="Courier" w:cstheme="minorBidi"/>
      <w:sz w:val="21"/>
      <w:szCs w:val="21"/>
      <w:lang w:eastAsia="fr-FR"/>
    </w:rPr>
  </w:style>
  <w:style w:type="character" w:customStyle="1" w:styleId="TextebrutCar">
    <w:name w:val="Texte brut Car"/>
    <w:basedOn w:val="Policepardfaut"/>
    <w:link w:val="Textebrut"/>
    <w:uiPriority w:val="99"/>
    <w:rsid w:val="00EE4BF0"/>
    <w:rPr>
      <w:rFonts w:ascii="Courier" w:eastAsiaTheme="minorEastAsia" w:hAnsi="Courier"/>
      <w:sz w:val="21"/>
      <w:szCs w:val="21"/>
      <w:lang w:eastAsia="fr-FR"/>
    </w:rPr>
  </w:style>
  <w:style w:type="paragraph" w:customStyle="1" w:styleId="Bibliographie1">
    <w:name w:val="Bibliographie1"/>
    <w:basedOn w:val="Normal"/>
    <w:rsid w:val="00EE4BF0"/>
    <w:pPr>
      <w:tabs>
        <w:tab w:val="left" w:pos="500"/>
      </w:tabs>
      <w:spacing w:after="240" w:line="240" w:lineRule="auto"/>
      <w:ind w:left="504" w:hanging="504"/>
    </w:pPr>
    <w:rPr>
      <w:rFonts w:ascii="Times New Roman" w:eastAsiaTheme="minorEastAsia" w:hAnsi="Times New Roman"/>
      <w:b/>
      <w:sz w:val="32"/>
      <w:szCs w:val="24"/>
      <w:lang w:val="en-GB" w:eastAsia="fr-FR"/>
    </w:rPr>
  </w:style>
  <w:style w:type="character" w:styleId="Numrodepage">
    <w:name w:val="page number"/>
    <w:basedOn w:val="Policepardfaut"/>
    <w:uiPriority w:val="99"/>
    <w:semiHidden/>
    <w:unhideWhenUsed/>
    <w:rsid w:val="00EE4BF0"/>
  </w:style>
  <w:style w:type="paragraph" w:customStyle="1" w:styleId="Default">
    <w:name w:val="Default"/>
    <w:rsid w:val="00EE4BF0"/>
    <w:pPr>
      <w:widowControl w:val="0"/>
      <w:autoSpaceDE w:val="0"/>
      <w:autoSpaceDN w:val="0"/>
      <w:adjustRightInd w:val="0"/>
    </w:pPr>
    <w:rPr>
      <w:rFonts w:ascii="Calibri" w:eastAsia="Times New Roman" w:hAnsi="Calibri" w:cs="Calibri"/>
      <w:color w:val="000000"/>
      <w:lang w:val="en-CA" w:eastAsia="en-CA"/>
    </w:rPr>
  </w:style>
  <w:style w:type="character" w:styleId="Appeldenotedefin">
    <w:name w:val="endnote reference"/>
    <w:basedOn w:val="Policepardfaut"/>
    <w:semiHidden/>
    <w:unhideWhenUsed/>
    <w:rsid w:val="00EE4BF0"/>
    <w:rPr>
      <w:vertAlign w:val="superscript"/>
    </w:rPr>
  </w:style>
  <w:style w:type="paragraph" w:styleId="Rvision">
    <w:name w:val="Revision"/>
    <w:hidden/>
    <w:uiPriority w:val="99"/>
    <w:semiHidden/>
    <w:rsid w:val="00EE4BF0"/>
    <w:rPr>
      <w:rFonts w:ascii="Calibri" w:eastAsia="Calibri" w:hAnsi="Calibri" w:cs="Times New Roman"/>
      <w:sz w:val="22"/>
      <w:szCs w:val="22"/>
    </w:rPr>
  </w:style>
  <w:style w:type="character" w:customStyle="1" w:styleId="orcid-id-https">
    <w:name w:val="orcid-id-https"/>
    <w:basedOn w:val="Policepardfaut"/>
    <w:rsid w:val="00EE4BF0"/>
  </w:style>
  <w:style w:type="character" w:styleId="Lienhypertexte">
    <w:name w:val="Hyperlink"/>
    <w:basedOn w:val="Policepardfaut"/>
    <w:unhideWhenUsed/>
    <w:rsid w:val="00EE4BF0"/>
    <w:rPr>
      <w:color w:val="0563C1" w:themeColor="hyperlink"/>
      <w:u w:val="single"/>
    </w:rPr>
  </w:style>
  <w:style w:type="character" w:styleId="Numrodeligne">
    <w:name w:val="line number"/>
    <w:basedOn w:val="Policepardfaut"/>
    <w:semiHidden/>
    <w:unhideWhenUsed/>
    <w:rsid w:val="00EE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2.png"/><Relationship Id="rId5" Type="http://schemas.openxmlformats.org/officeDocument/2006/relationships/chart" Target="charts/chart1.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dmin:Dropbox:LIRAES:2.%20SPRINTT:3.%20Revue%20frailty%20and%20LTC:Data&amp;analysis_L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dmin:Dropbox:LIRAES:2.%20SPRINTT:3.%20Revue%20frailty%20and%20LTC:Data&amp;analysis_L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dmin:Dropbox:LIRAES:2.%20SPRINTT:3.%20Revue%20frailty%20and%20LTC:Data&amp;analysis_L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dmin:Dropbox:LIRAES:2.%20SPRINTT:3.%20Revue%20frailty%20and%20LTC:Data&amp;analysis_L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admin:Dropbox:LIRAES:2.%20SPRINTT:3.%20Revue%20frailty%20and%20LTC:Data&amp;analysis_L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fr-FR" sz="1600"/>
              <a:t>Nursing</a:t>
            </a:r>
            <a:r>
              <a:rPr lang="fr-FR" sz="1600" baseline="0"/>
              <a:t> home placement</a:t>
            </a:r>
            <a:r>
              <a:rPr lang="fr-FR" sz="1600"/>
              <a:t> </a:t>
            </a:r>
          </a:p>
        </c:rich>
      </c:tx>
      <c:layout>
        <c:manualLayout>
          <c:xMode val="edge"/>
          <c:yMode val="edge"/>
          <c:x val="7.4209595086066102E-2"/>
          <c:y val="5.5136987193457896E-3"/>
        </c:manualLayout>
      </c:layout>
      <c:overlay val="0"/>
    </c:title>
    <c:autoTitleDeleted val="0"/>
    <c:plotArea>
      <c:layout/>
      <c:radarChart>
        <c:radarStyle val="filled"/>
        <c:varyColors val="0"/>
        <c:ser>
          <c:idx val="0"/>
          <c:order val="0"/>
          <c:tx>
            <c:strRef>
              <c:f>'Radar plot'!$B$55</c:f>
              <c:strCache>
                <c:ptCount val="1"/>
                <c:pt idx="0">
                  <c:v>Nursing home placement</c:v>
                </c:pt>
              </c:strCache>
            </c:strRef>
          </c:tx>
          <c:cat>
            <c:strRef>
              <c:f>'Radar plot'!$C$54:$G$54</c:f>
              <c:strCache>
                <c:ptCount val="5"/>
                <c:pt idx="0">
                  <c:v>Design</c:v>
                </c:pt>
                <c:pt idx="1">
                  <c:v>Data</c:v>
                </c:pt>
                <c:pt idx="2">
                  <c:v>Analyses</c:v>
                </c:pt>
                <c:pt idx="3">
                  <c:v>Reporting</c:v>
                </c:pt>
                <c:pt idx="4">
                  <c:v>Interpretation</c:v>
                </c:pt>
              </c:strCache>
            </c:strRef>
          </c:cat>
          <c:val>
            <c:numRef>
              <c:f>'Radar plot'!$C$55:$G$55</c:f>
              <c:numCache>
                <c:formatCode>General</c:formatCode>
                <c:ptCount val="5"/>
                <c:pt idx="0">
                  <c:v>0.83333333333333304</c:v>
                </c:pt>
                <c:pt idx="1">
                  <c:v>1</c:v>
                </c:pt>
                <c:pt idx="2">
                  <c:v>0.33333333333333298</c:v>
                </c:pt>
                <c:pt idx="3">
                  <c:v>0.952380952380952</c:v>
                </c:pt>
                <c:pt idx="4">
                  <c:v>0.79166666666666696</c:v>
                </c:pt>
              </c:numCache>
            </c:numRef>
          </c:val>
          <c:extLst>
            <c:ext xmlns:c16="http://schemas.microsoft.com/office/drawing/2014/chart" uri="{C3380CC4-5D6E-409C-BE32-E72D297353CC}">
              <c16:uniqueId val="{00000000-E675-AD4A-9BC8-5089B2309470}"/>
            </c:ext>
          </c:extLst>
        </c:ser>
        <c:dLbls>
          <c:showLegendKey val="0"/>
          <c:showVal val="0"/>
          <c:showCatName val="0"/>
          <c:showSerName val="0"/>
          <c:showPercent val="0"/>
          <c:showBubbleSize val="0"/>
        </c:dLbls>
        <c:axId val="-2109874824"/>
        <c:axId val="2142582264"/>
      </c:radarChart>
      <c:catAx>
        <c:axId val="-2109874824"/>
        <c:scaling>
          <c:orientation val="minMax"/>
        </c:scaling>
        <c:delete val="0"/>
        <c:axPos val="b"/>
        <c:majorGridlines/>
        <c:numFmt formatCode="General" sourceLinked="0"/>
        <c:majorTickMark val="out"/>
        <c:minorTickMark val="none"/>
        <c:tickLblPos val="nextTo"/>
        <c:crossAx val="2142582264"/>
        <c:crosses val="autoZero"/>
        <c:auto val="1"/>
        <c:lblAlgn val="ctr"/>
        <c:lblOffset val="100"/>
        <c:noMultiLvlLbl val="0"/>
      </c:catAx>
      <c:valAx>
        <c:axId val="2142582264"/>
        <c:scaling>
          <c:orientation val="minMax"/>
        </c:scaling>
        <c:delete val="0"/>
        <c:axPos val="l"/>
        <c:majorGridlines/>
        <c:numFmt formatCode="General" sourceLinked="1"/>
        <c:majorTickMark val="cross"/>
        <c:minorTickMark val="none"/>
        <c:tickLblPos val="nextTo"/>
        <c:crossAx val="-21098748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sz="1600"/>
            </a:pPr>
            <a:r>
              <a:rPr lang="fr-FR" sz="1600"/>
              <a:t>Nursing home short stay </a:t>
            </a:r>
          </a:p>
        </c:rich>
      </c:tx>
      <c:overlay val="0"/>
    </c:title>
    <c:autoTitleDeleted val="0"/>
    <c:plotArea>
      <c:layout/>
      <c:radarChart>
        <c:radarStyle val="filled"/>
        <c:varyColors val="0"/>
        <c:ser>
          <c:idx val="0"/>
          <c:order val="0"/>
          <c:tx>
            <c:strRef>
              <c:f>'Radar plot'!$B$57</c:f>
              <c:strCache>
                <c:ptCount val="1"/>
                <c:pt idx="0">
                  <c:v>Nursing home short stay </c:v>
                </c:pt>
              </c:strCache>
            </c:strRef>
          </c:tx>
          <c:cat>
            <c:strRef>
              <c:f>'Radar plot'!$C$56:$G$56</c:f>
              <c:strCache>
                <c:ptCount val="5"/>
                <c:pt idx="0">
                  <c:v>Design</c:v>
                </c:pt>
                <c:pt idx="1">
                  <c:v>Data</c:v>
                </c:pt>
                <c:pt idx="2">
                  <c:v>Analyses</c:v>
                </c:pt>
                <c:pt idx="3">
                  <c:v>Reporting</c:v>
                </c:pt>
                <c:pt idx="4">
                  <c:v>Interpretation</c:v>
                </c:pt>
              </c:strCache>
            </c:strRef>
          </c:cat>
          <c:val>
            <c:numRef>
              <c:f>'Radar plot'!$C$57:$G$57</c:f>
              <c:numCache>
                <c:formatCode>General</c:formatCode>
                <c:ptCount val="5"/>
                <c:pt idx="0">
                  <c:v>0.75</c:v>
                </c:pt>
                <c:pt idx="1">
                  <c:v>1</c:v>
                </c:pt>
                <c:pt idx="2">
                  <c:v>0.5</c:v>
                </c:pt>
                <c:pt idx="3">
                  <c:v>0.92857142857142905</c:v>
                </c:pt>
                <c:pt idx="4">
                  <c:v>0.875</c:v>
                </c:pt>
              </c:numCache>
            </c:numRef>
          </c:val>
          <c:extLst>
            <c:ext xmlns:c16="http://schemas.microsoft.com/office/drawing/2014/chart" uri="{C3380CC4-5D6E-409C-BE32-E72D297353CC}">
              <c16:uniqueId val="{00000000-3675-EA4A-BA35-550A63921D3E}"/>
            </c:ext>
          </c:extLst>
        </c:ser>
        <c:dLbls>
          <c:showLegendKey val="0"/>
          <c:showVal val="0"/>
          <c:showCatName val="0"/>
          <c:showSerName val="0"/>
          <c:showPercent val="0"/>
          <c:showBubbleSize val="0"/>
        </c:dLbls>
        <c:axId val="2142752408"/>
        <c:axId val="2142640248"/>
      </c:radarChart>
      <c:catAx>
        <c:axId val="2142752408"/>
        <c:scaling>
          <c:orientation val="minMax"/>
        </c:scaling>
        <c:delete val="0"/>
        <c:axPos val="b"/>
        <c:majorGridlines/>
        <c:numFmt formatCode="General" sourceLinked="0"/>
        <c:majorTickMark val="out"/>
        <c:minorTickMark val="none"/>
        <c:tickLblPos val="nextTo"/>
        <c:crossAx val="2142640248"/>
        <c:crosses val="autoZero"/>
        <c:auto val="1"/>
        <c:lblAlgn val="ctr"/>
        <c:lblOffset val="100"/>
        <c:noMultiLvlLbl val="0"/>
      </c:catAx>
      <c:valAx>
        <c:axId val="2142640248"/>
        <c:scaling>
          <c:orientation val="minMax"/>
        </c:scaling>
        <c:delete val="0"/>
        <c:axPos val="l"/>
        <c:majorGridlines/>
        <c:numFmt formatCode="General" sourceLinked="1"/>
        <c:majorTickMark val="cross"/>
        <c:minorTickMark val="none"/>
        <c:tickLblPos val="nextTo"/>
        <c:crossAx val="21427524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29"/>
    </mc:Choice>
    <mc:Fallback>
      <c:style val="29"/>
    </mc:Fallback>
  </mc:AlternateContent>
  <c:chart>
    <c:title>
      <c:overlay val="0"/>
      <c:txPr>
        <a:bodyPr/>
        <a:lstStyle/>
        <a:p>
          <a:pPr>
            <a:defRPr sz="1600"/>
          </a:pPr>
          <a:endParaRPr lang="fr-FR"/>
        </a:p>
      </c:txPr>
    </c:title>
    <c:autoTitleDeleted val="0"/>
    <c:plotArea>
      <c:layout/>
      <c:radarChart>
        <c:radarStyle val="filled"/>
        <c:varyColors val="0"/>
        <c:ser>
          <c:idx val="0"/>
          <c:order val="0"/>
          <c:tx>
            <c:strRef>
              <c:f>'Radar plot'!$B$59</c:f>
              <c:strCache>
                <c:ptCount val="1"/>
                <c:pt idx="0">
                  <c:v>Formal personal care</c:v>
                </c:pt>
              </c:strCache>
            </c:strRef>
          </c:tx>
          <c:cat>
            <c:strRef>
              <c:f>'Radar plot'!$C$58:$G$58</c:f>
              <c:strCache>
                <c:ptCount val="5"/>
                <c:pt idx="0">
                  <c:v>Design</c:v>
                </c:pt>
                <c:pt idx="1">
                  <c:v>Data</c:v>
                </c:pt>
                <c:pt idx="2">
                  <c:v>Analyses</c:v>
                </c:pt>
                <c:pt idx="3">
                  <c:v>Reporting</c:v>
                </c:pt>
                <c:pt idx="4">
                  <c:v>Interpretation</c:v>
                </c:pt>
              </c:strCache>
            </c:strRef>
          </c:cat>
          <c:val>
            <c:numRef>
              <c:f>'Radar plot'!$C$59:$G$59</c:f>
              <c:numCache>
                <c:formatCode>General</c:formatCode>
                <c:ptCount val="5"/>
                <c:pt idx="0">
                  <c:v>0.80952380952380898</c:v>
                </c:pt>
                <c:pt idx="1">
                  <c:v>0.952380952380952</c:v>
                </c:pt>
                <c:pt idx="2">
                  <c:v>0.238095238095238</c:v>
                </c:pt>
                <c:pt idx="3">
                  <c:v>0.83673469387755095</c:v>
                </c:pt>
                <c:pt idx="4">
                  <c:v>0.85714285714285698</c:v>
                </c:pt>
              </c:numCache>
            </c:numRef>
          </c:val>
          <c:extLst>
            <c:ext xmlns:c16="http://schemas.microsoft.com/office/drawing/2014/chart" uri="{C3380CC4-5D6E-409C-BE32-E72D297353CC}">
              <c16:uniqueId val="{00000000-ED56-5549-A865-DCCBB68D2EEB}"/>
            </c:ext>
          </c:extLst>
        </c:ser>
        <c:dLbls>
          <c:showLegendKey val="0"/>
          <c:showVal val="0"/>
          <c:showCatName val="0"/>
          <c:showSerName val="0"/>
          <c:showPercent val="0"/>
          <c:showBubbleSize val="0"/>
        </c:dLbls>
        <c:axId val="2142576568"/>
        <c:axId val="2139869896"/>
      </c:radarChart>
      <c:catAx>
        <c:axId val="2142576568"/>
        <c:scaling>
          <c:orientation val="minMax"/>
        </c:scaling>
        <c:delete val="0"/>
        <c:axPos val="b"/>
        <c:majorGridlines/>
        <c:numFmt formatCode="General" sourceLinked="0"/>
        <c:majorTickMark val="out"/>
        <c:minorTickMark val="none"/>
        <c:tickLblPos val="nextTo"/>
        <c:crossAx val="2139869896"/>
        <c:crosses val="autoZero"/>
        <c:auto val="1"/>
        <c:lblAlgn val="ctr"/>
        <c:lblOffset val="100"/>
        <c:noMultiLvlLbl val="0"/>
      </c:catAx>
      <c:valAx>
        <c:axId val="2139869896"/>
        <c:scaling>
          <c:orientation val="minMax"/>
        </c:scaling>
        <c:delete val="0"/>
        <c:axPos val="l"/>
        <c:majorGridlines/>
        <c:numFmt formatCode="General" sourceLinked="1"/>
        <c:majorTickMark val="cross"/>
        <c:minorTickMark val="none"/>
        <c:tickLblPos val="nextTo"/>
        <c:crossAx val="21425765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22"/>
    </mc:Choice>
    <mc:Fallback>
      <c:style val="22"/>
    </mc:Fallback>
  </mc:AlternateContent>
  <c:chart>
    <c:title>
      <c:tx>
        <c:rich>
          <a:bodyPr/>
          <a:lstStyle/>
          <a:p>
            <a:pPr>
              <a:defRPr sz="1600"/>
            </a:pPr>
            <a:r>
              <a:rPr lang="fr-FR" sz="1600"/>
              <a:t>Formal home care</a:t>
            </a:r>
          </a:p>
        </c:rich>
      </c:tx>
      <c:overlay val="0"/>
    </c:title>
    <c:autoTitleDeleted val="0"/>
    <c:plotArea>
      <c:layout/>
      <c:radarChart>
        <c:radarStyle val="filled"/>
        <c:varyColors val="0"/>
        <c:ser>
          <c:idx val="0"/>
          <c:order val="0"/>
          <c:tx>
            <c:strRef>
              <c:f>'Radar plot'!$B$61</c:f>
              <c:strCache>
                <c:ptCount val="1"/>
                <c:pt idx="0">
                  <c:v>Formal home help</c:v>
                </c:pt>
              </c:strCache>
            </c:strRef>
          </c:tx>
          <c:cat>
            <c:strRef>
              <c:f>'Radar plot'!$C$60:$G$60</c:f>
              <c:strCache>
                <c:ptCount val="5"/>
                <c:pt idx="0">
                  <c:v>Design</c:v>
                </c:pt>
                <c:pt idx="1">
                  <c:v>Data</c:v>
                </c:pt>
                <c:pt idx="2">
                  <c:v>Analyses</c:v>
                </c:pt>
                <c:pt idx="3">
                  <c:v>Reporting</c:v>
                </c:pt>
                <c:pt idx="4">
                  <c:v>Interpretation</c:v>
                </c:pt>
              </c:strCache>
            </c:strRef>
          </c:cat>
          <c:val>
            <c:numRef>
              <c:f>'Radar plot'!$C$61:$G$61</c:f>
              <c:numCache>
                <c:formatCode>General</c:formatCode>
                <c:ptCount val="5"/>
                <c:pt idx="0">
                  <c:v>0.875</c:v>
                </c:pt>
                <c:pt idx="1">
                  <c:v>0.91666666666666696</c:v>
                </c:pt>
                <c:pt idx="2">
                  <c:v>0.16666666666666699</c:v>
                </c:pt>
                <c:pt idx="3">
                  <c:v>0.75</c:v>
                </c:pt>
                <c:pt idx="4">
                  <c:v>0.75</c:v>
                </c:pt>
              </c:numCache>
            </c:numRef>
          </c:val>
          <c:extLst>
            <c:ext xmlns:c16="http://schemas.microsoft.com/office/drawing/2014/chart" uri="{C3380CC4-5D6E-409C-BE32-E72D297353CC}">
              <c16:uniqueId val="{00000000-5814-6D4B-A910-FE02E02CC36A}"/>
            </c:ext>
          </c:extLst>
        </c:ser>
        <c:dLbls>
          <c:showLegendKey val="0"/>
          <c:showVal val="0"/>
          <c:showCatName val="0"/>
          <c:showSerName val="0"/>
          <c:showPercent val="0"/>
          <c:showBubbleSize val="0"/>
        </c:dLbls>
        <c:axId val="-2110629016"/>
        <c:axId val="-2113095480"/>
      </c:radarChart>
      <c:catAx>
        <c:axId val="-2110629016"/>
        <c:scaling>
          <c:orientation val="minMax"/>
        </c:scaling>
        <c:delete val="0"/>
        <c:axPos val="b"/>
        <c:majorGridlines/>
        <c:numFmt formatCode="General" sourceLinked="0"/>
        <c:majorTickMark val="out"/>
        <c:minorTickMark val="none"/>
        <c:tickLblPos val="nextTo"/>
        <c:crossAx val="-2113095480"/>
        <c:crosses val="autoZero"/>
        <c:auto val="1"/>
        <c:lblAlgn val="ctr"/>
        <c:lblOffset val="100"/>
        <c:noMultiLvlLbl val="0"/>
      </c:catAx>
      <c:valAx>
        <c:axId val="-2113095480"/>
        <c:scaling>
          <c:orientation val="minMax"/>
        </c:scaling>
        <c:delete val="0"/>
        <c:axPos val="l"/>
        <c:majorGridlines/>
        <c:numFmt formatCode="General" sourceLinked="1"/>
        <c:majorTickMark val="cross"/>
        <c:minorTickMark val="none"/>
        <c:tickLblPos val="nextTo"/>
        <c:crossAx val="-21106290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23"/>
    </mc:Choice>
    <mc:Fallback>
      <c:style val="23"/>
    </mc:Fallback>
  </mc:AlternateContent>
  <c:chart>
    <c:title>
      <c:overlay val="0"/>
      <c:txPr>
        <a:bodyPr/>
        <a:lstStyle/>
        <a:p>
          <a:pPr>
            <a:defRPr sz="1600"/>
          </a:pPr>
          <a:endParaRPr lang="fr-FR"/>
        </a:p>
      </c:txPr>
    </c:title>
    <c:autoTitleDeleted val="0"/>
    <c:plotArea>
      <c:layout/>
      <c:radarChart>
        <c:radarStyle val="filled"/>
        <c:varyColors val="0"/>
        <c:ser>
          <c:idx val="0"/>
          <c:order val="0"/>
          <c:tx>
            <c:strRef>
              <c:f>'Radar plot'!$B$63</c:f>
              <c:strCache>
                <c:ptCount val="1"/>
                <c:pt idx="0">
                  <c:v>Informal care</c:v>
                </c:pt>
              </c:strCache>
            </c:strRef>
          </c:tx>
          <c:cat>
            <c:strRef>
              <c:f>'Radar plot'!$C$62:$G$62</c:f>
              <c:strCache>
                <c:ptCount val="5"/>
                <c:pt idx="0">
                  <c:v>Design</c:v>
                </c:pt>
                <c:pt idx="1">
                  <c:v>Data</c:v>
                </c:pt>
                <c:pt idx="2">
                  <c:v>Analyses</c:v>
                </c:pt>
                <c:pt idx="3">
                  <c:v>Reporting</c:v>
                </c:pt>
                <c:pt idx="4">
                  <c:v>Interpretation</c:v>
                </c:pt>
              </c:strCache>
            </c:strRef>
          </c:cat>
          <c:val>
            <c:numRef>
              <c:f>'Radar plot'!$C$63:$G$63</c:f>
              <c:numCache>
                <c:formatCode>General</c:formatCode>
                <c:ptCount val="5"/>
                <c:pt idx="0">
                  <c:v>0.93333333333333302</c:v>
                </c:pt>
                <c:pt idx="1">
                  <c:v>1</c:v>
                </c:pt>
                <c:pt idx="2">
                  <c:v>0.2</c:v>
                </c:pt>
                <c:pt idx="3">
                  <c:v>0.68571428571428605</c:v>
                </c:pt>
                <c:pt idx="4">
                  <c:v>0.8</c:v>
                </c:pt>
              </c:numCache>
            </c:numRef>
          </c:val>
          <c:extLst>
            <c:ext xmlns:c16="http://schemas.microsoft.com/office/drawing/2014/chart" uri="{C3380CC4-5D6E-409C-BE32-E72D297353CC}">
              <c16:uniqueId val="{00000000-F087-CC47-B703-806C388DC9AA}"/>
            </c:ext>
          </c:extLst>
        </c:ser>
        <c:dLbls>
          <c:showLegendKey val="0"/>
          <c:showVal val="0"/>
          <c:showCatName val="0"/>
          <c:showSerName val="0"/>
          <c:showPercent val="0"/>
          <c:showBubbleSize val="0"/>
        </c:dLbls>
        <c:axId val="-2109825848"/>
        <c:axId val="2062487752"/>
      </c:radarChart>
      <c:catAx>
        <c:axId val="-2109825848"/>
        <c:scaling>
          <c:orientation val="minMax"/>
        </c:scaling>
        <c:delete val="0"/>
        <c:axPos val="b"/>
        <c:majorGridlines/>
        <c:numFmt formatCode="General" sourceLinked="0"/>
        <c:majorTickMark val="out"/>
        <c:minorTickMark val="none"/>
        <c:tickLblPos val="nextTo"/>
        <c:crossAx val="2062487752"/>
        <c:crosses val="autoZero"/>
        <c:auto val="1"/>
        <c:lblAlgn val="ctr"/>
        <c:lblOffset val="100"/>
        <c:noMultiLvlLbl val="0"/>
      </c:catAx>
      <c:valAx>
        <c:axId val="2062487752"/>
        <c:scaling>
          <c:orientation val="minMax"/>
        </c:scaling>
        <c:delete val="0"/>
        <c:axPos val="l"/>
        <c:majorGridlines/>
        <c:numFmt formatCode="General" sourceLinked="1"/>
        <c:majorTickMark val="cross"/>
        <c:minorTickMark val="none"/>
        <c:tickLblPos val="nextTo"/>
        <c:crossAx val="-21098258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38157</Words>
  <Characters>209865</Characters>
  <Application>Microsoft Office Word</Application>
  <DocSecurity>0</DocSecurity>
  <Lines>1748</Lines>
  <Paragraphs>495</Paragraphs>
  <ScaleCrop>false</ScaleCrop>
  <Company/>
  <LinksUpToDate>false</LinksUpToDate>
  <CharactersWithSpaces>247527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Cassigneul</dc:creator>
  <cp:keywords/>
  <dc:description/>
  <cp:lastModifiedBy>Virginie Cassigneul</cp:lastModifiedBy>
  <cp:revision>1</cp:revision>
  <dcterms:created xsi:type="dcterms:W3CDTF">2021-01-14T10:32:00Z</dcterms:created>
  <dcterms:modified xsi:type="dcterms:W3CDTF">2021-01-14T10:33:00Z</dcterms:modified>
</cp:coreProperties>
</file>