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66"/>
        <w:tblW w:w="15153" w:type="dxa"/>
        <w:tblCellMar>
          <w:left w:w="70" w:type="dxa"/>
          <w:right w:w="70" w:type="dxa"/>
        </w:tblCellMar>
        <w:tblLook w:val="04A0"/>
      </w:tblPr>
      <w:tblGrid>
        <w:gridCol w:w="3416"/>
        <w:gridCol w:w="1053"/>
        <w:gridCol w:w="1302"/>
        <w:gridCol w:w="2229"/>
        <w:gridCol w:w="1740"/>
        <w:gridCol w:w="1540"/>
        <w:gridCol w:w="2493"/>
        <w:gridCol w:w="1380"/>
      </w:tblGrid>
      <w:tr w:rsidR="00C97CE2" w:rsidRPr="00C97CE2" w:rsidTr="00C86955">
        <w:trPr>
          <w:trHeight w:val="300"/>
        </w:trPr>
        <w:tc>
          <w:tcPr>
            <w:tcW w:w="8000" w:type="dxa"/>
            <w:gridSpan w:val="4"/>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rPr>
                <w:rFonts w:ascii="Times New Roman" w:eastAsia="Times New Roman" w:hAnsi="Times New Roman" w:cs="Times New Roman"/>
                <w:b/>
                <w:bCs/>
                <w:color w:val="000000"/>
                <w:sz w:val="24"/>
                <w:szCs w:val="24"/>
                <w:lang w:val="en-US" w:eastAsia="pt-BR"/>
              </w:rPr>
            </w:pPr>
            <w:bookmarkStart w:id="0" w:name="_GoBack"/>
            <w:r w:rsidRPr="00C97CE2">
              <w:rPr>
                <w:rFonts w:ascii="Times New Roman" w:eastAsia="Times New Roman" w:hAnsi="Times New Roman" w:cs="Times New Roman"/>
                <w:b/>
                <w:bCs/>
                <w:color w:val="000000"/>
                <w:sz w:val="24"/>
                <w:szCs w:val="24"/>
                <w:lang w:val="en-US" w:eastAsia="pt-BR"/>
              </w:rPr>
              <w:t>Cutoffs values for frailty instruments</w:t>
            </w:r>
          </w:p>
        </w:tc>
        <w:tc>
          <w:tcPr>
            <w:tcW w:w="17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5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2493"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38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r>
      <w:tr w:rsidR="00C97CE2" w:rsidRPr="00C97CE2" w:rsidTr="00C86955">
        <w:trPr>
          <w:trHeight w:val="300"/>
        </w:trPr>
        <w:tc>
          <w:tcPr>
            <w:tcW w:w="15153" w:type="dxa"/>
            <w:gridSpan w:val="8"/>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i/>
                <w:iCs/>
                <w:color w:val="000000"/>
                <w:sz w:val="24"/>
                <w:szCs w:val="24"/>
                <w:lang w:val="en-US" w:eastAsia="pt-BR"/>
              </w:rPr>
            </w:pPr>
            <w:r w:rsidRPr="00C97CE2">
              <w:rPr>
                <w:rFonts w:ascii="Times New Roman" w:eastAsia="Times New Roman" w:hAnsi="Times New Roman" w:cs="Times New Roman"/>
                <w:i/>
                <w:iCs/>
                <w:color w:val="000000"/>
                <w:sz w:val="24"/>
                <w:szCs w:val="24"/>
                <w:lang w:val="en-US" w:eastAsia="pt-BR"/>
              </w:rPr>
              <w:t>Cut</w:t>
            </w:r>
            <w:r w:rsidR="000861E1">
              <w:rPr>
                <w:rFonts w:ascii="Times New Roman" w:eastAsia="Times New Roman" w:hAnsi="Times New Roman" w:cs="Times New Roman"/>
                <w:i/>
                <w:iCs/>
                <w:color w:val="000000"/>
                <w:sz w:val="24"/>
                <w:szCs w:val="24"/>
                <w:lang w:val="en-US" w:eastAsia="pt-BR"/>
              </w:rPr>
              <w:t>-</w:t>
            </w:r>
            <w:r w:rsidRPr="00C97CE2">
              <w:rPr>
                <w:rFonts w:ascii="Times New Roman" w:eastAsia="Times New Roman" w:hAnsi="Times New Roman" w:cs="Times New Roman"/>
                <w:i/>
                <w:iCs/>
                <w:color w:val="000000"/>
                <w:sz w:val="24"/>
                <w:szCs w:val="24"/>
                <w:lang w:val="en-US" w:eastAsia="pt-BR"/>
              </w:rPr>
              <w:t>off values (points)</w:t>
            </w:r>
          </w:p>
        </w:tc>
      </w:tr>
      <w:tr w:rsidR="00C97CE2" w:rsidRPr="00C97CE2" w:rsidTr="00C86955">
        <w:trPr>
          <w:trHeight w:val="300"/>
        </w:trPr>
        <w:tc>
          <w:tcPr>
            <w:tcW w:w="3416"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rPr>
                <w:rFonts w:ascii="Times New Roman" w:eastAsia="Times New Roman" w:hAnsi="Times New Roman" w:cs="Times New Roman"/>
                <w:i/>
                <w:iCs/>
                <w:color w:val="000000"/>
                <w:sz w:val="24"/>
                <w:szCs w:val="24"/>
                <w:lang w:val="en-US" w:eastAsia="pt-BR"/>
              </w:rPr>
            </w:pPr>
            <w:r w:rsidRPr="00C97CE2">
              <w:rPr>
                <w:rFonts w:ascii="Times New Roman" w:eastAsia="Times New Roman" w:hAnsi="Times New Roman" w:cs="Times New Roman"/>
                <w:i/>
                <w:iCs/>
                <w:color w:val="000000"/>
                <w:sz w:val="24"/>
                <w:szCs w:val="24"/>
                <w:lang w:val="en-US" w:eastAsia="pt-BR"/>
              </w:rPr>
              <w:t>Instruments</w:t>
            </w:r>
          </w:p>
        </w:tc>
        <w:tc>
          <w:tcPr>
            <w:tcW w:w="1053"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302"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Robust</w:t>
            </w:r>
          </w:p>
        </w:tc>
        <w:tc>
          <w:tcPr>
            <w:tcW w:w="2229"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740" w:type="dxa"/>
            <w:tcBorders>
              <w:top w:val="nil"/>
              <w:left w:val="nil"/>
              <w:bottom w:val="single" w:sz="4" w:space="0" w:color="auto"/>
              <w:right w:val="nil"/>
            </w:tcBorders>
            <w:shd w:val="clear" w:color="000000" w:fill="FFFFFF"/>
            <w:noWrap/>
            <w:vAlign w:val="bottom"/>
            <w:hideMark/>
          </w:tcPr>
          <w:p w:rsidR="00C97CE2" w:rsidRPr="00C97CE2" w:rsidRDefault="006954FE" w:rsidP="00C869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Prefrail</w:t>
            </w:r>
          </w:p>
        </w:tc>
        <w:tc>
          <w:tcPr>
            <w:tcW w:w="15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2493"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Frail</w:t>
            </w:r>
          </w:p>
        </w:tc>
        <w:tc>
          <w:tcPr>
            <w:tcW w:w="138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r>
      <w:tr w:rsidR="00C97CE2" w:rsidRPr="00C97CE2" w:rsidTr="00C86955">
        <w:trPr>
          <w:trHeight w:val="300"/>
        </w:trPr>
        <w:tc>
          <w:tcPr>
            <w:tcW w:w="3416" w:type="dxa"/>
            <w:tcBorders>
              <w:top w:val="nil"/>
              <w:left w:val="nil"/>
              <w:bottom w:val="nil"/>
              <w:right w:val="nil"/>
            </w:tcBorders>
            <w:shd w:val="clear" w:color="000000" w:fill="FFFFFF"/>
            <w:noWrap/>
            <w:vAlign w:val="bottom"/>
            <w:hideMark/>
          </w:tcPr>
          <w:p w:rsidR="00C97CE2" w:rsidRPr="00C97CE2" w:rsidRDefault="00C97CE2" w:rsidP="000861E1">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Fried frailty phenotype</w:t>
            </w:r>
            <w:r w:rsidR="000861E1">
              <w:rPr>
                <w:rFonts w:ascii="Times New Roman" w:eastAsia="Times New Roman" w:hAnsi="Times New Roman" w:cs="Times New Roman"/>
                <w:color w:val="000000"/>
                <w:sz w:val="24"/>
                <w:szCs w:val="24"/>
                <w:lang w:val="en-US" w:eastAsia="pt-BR"/>
              </w:rPr>
              <w:t xml:space="preserve"> (1)</w:t>
            </w:r>
            <w:r w:rsidR="000861E1" w:rsidRPr="00C97CE2">
              <w:rPr>
                <w:rFonts w:ascii="Times New Roman" w:eastAsia="Times New Roman" w:hAnsi="Times New Roman" w:cs="Times New Roman"/>
                <w:color w:val="000000"/>
                <w:sz w:val="24"/>
                <w:szCs w:val="24"/>
                <w:lang w:val="en-US" w:eastAsia="pt-BR"/>
              </w:rPr>
              <w:t xml:space="preserve"> </w:t>
            </w:r>
          </w:p>
        </w:tc>
        <w:tc>
          <w:tcPr>
            <w:tcW w:w="1053"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302"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0</w:t>
            </w:r>
          </w:p>
        </w:tc>
        <w:tc>
          <w:tcPr>
            <w:tcW w:w="2229"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740"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0</w:t>
            </w:r>
          </w:p>
        </w:tc>
        <w:tc>
          <w:tcPr>
            <w:tcW w:w="1540"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2493"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≥3</w:t>
            </w:r>
          </w:p>
        </w:tc>
        <w:tc>
          <w:tcPr>
            <w:tcW w:w="1380"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r>
      <w:tr w:rsidR="00C97CE2" w:rsidRPr="00C97CE2" w:rsidTr="00C86955">
        <w:trPr>
          <w:trHeight w:val="300"/>
        </w:trPr>
        <w:tc>
          <w:tcPr>
            <w:tcW w:w="3416" w:type="dxa"/>
            <w:tcBorders>
              <w:top w:val="nil"/>
              <w:left w:val="nil"/>
              <w:bottom w:val="nil"/>
              <w:right w:val="nil"/>
            </w:tcBorders>
            <w:shd w:val="clear" w:color="000000" w:fill="FFFFFF"/>
            <w:noWrap/>
            <w:vAlign w:val="bottom"/>
            <w:hideMark/>
          </w:tcPr>
          <w:p w:rsidR="00C97CE2" w:rsidRPr="00C97CE2" w:rsidRDefault="00C97CE2" w:rsidP="000861E1">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Tilburg frailty indicator</w:t>
            </w:r>
            <w:r w:rsidR="000861E1">
              <w:rPr>
                <w:rFonts w:ascii="Times New Roman" w:eastAsia="Times New Roman" w:hAnsi="Times New Roman" w:cs="Times New Roman"/>
                <w:color w:val="000000"/>
                <w:sz w:val="24"/>
                <w:szCs w:val="24"/>
                <w:lang w:val="en-US" w:eastAsia="pt-BR"/>
              </w:rPr>
              <w:t xml:space="preserve"> (2,3)</w:t>
            </w:r>
            <w:r w:rsidR="000861E1" w:rsidRPr="00C97CE2">
              <w:rPr>
                <w:rFonts w:ascii="Times New Roman" w:eastAsia="Times New Roman" w:hAnsi="Times New Roman" w:cs="Times New Roman"/>
                <w:color w:val="000000"/>
                <w:sz w:val="24"/>
                <w:szCs w:val="24"/>
                <w:lang w:val="en-US" w:eastAsia="pt-BR"/>
              </w:rPr>
              <w:t xml:space="preserve"> </w:t>
            </w:r>
          </w:p>
        </w:tc>
        <w:tc>
          <w:tcPr>
            <w:tcW w:w="1053"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302"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0</w:t>
            </w:r>
          </w:p>
        </w:tc>
        <w:tc>
          <w:tcPr>
            <w:tcW w:w="2229"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740"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0</w:t>
            </w:r>
          </w:p>
        </w:tc>
        <w:tc>
          <w:tcPr>
            <w:tcW w:w="1540"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2493"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≥5</w:t>
            </w:r>
          </w:p>
        </w:tc>
        <w:tc>
          <w:tcPr>
            <w:tcW w:w="1380"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r>
      <w:tr w:rsidR="00C97CE2" w:rsidRPr="00C97CE2" w:rsidTr="00C86955">
        <w:trPr>
          <w:trHeight w:val="300"/>
        </w:trPr>
        <w:tc>
          <w:tcPr>
            <w:tcW w:w="3416" w:type="dxa"/>
            <w:tcBorders>
              <w:top w:val="nil"/>
              <w:left w:val="nil"/>
              <w:bottom w:val="nil"/>
              <w:right w:val="nil"/>
            </w:tcBorders>
            <w:shd w:val="clear" w:color="000000" w:fill="FFFFFF"/>
            <w:noWrap/>
            <w:vAlign w:val="bottom"/>
            <w:hideMark/>
          </w:tcPr>
          <w:p w:rsidR="00C97CE2" w:rsidRPr="00C97CE2" w:rsidRDefault="00C97CE2" w:rsidP="000861E1">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FRAIL</w:t>
            </w:r>
            <w:r w:rsidR="000861E1">
              <w:rPr>
                <w:rFonts w:ascii="Times New Roman" w:eastAsia="Times New Roman" w:hAnsi="Times New Roman" w:cs="Times New Roman"/>
                <w:color w:val="000000"/>
                <w:sz w:val="24"/>
                <w:szCs w:val="24"/>
                <w:lang w:val="en-US" w:eastAsia="pt-BR"/>
              </w:rPr>
              <w:t xml:space="preserve"> (4)</w:t>
            </w:r>
            <w:r w:rsidR="000861E1" w:rsidRPr="00C97CE2">
              <w:rPr>
                <w:rFonts w:ascii="Times New Roman" w:eastAsia="Times New Roman" w:hAnsi="Times New Roman" w:cs="Times New Roman"/>
                <w:color w:val="000000"/>
                <w:sz w:val="24"/>
                <w:szCs w:val="24"/>
                <w:lang w:val="en-US" w:eastAsia="pt-BR"/>
              </w:rPr>
              <w:t xml:space="preserve"> </w:t>
            </w:r>
          </w:p>
        </w:tc>
        <w:tc>
          <w:tcPr>
            <w:tcW w:w="1053"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302"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0</w:t>
            </w:r>
          </w:p>
        </w:tc>
        <w:tc>
          <w:tcPr>
            <w:tcW w:w="2229"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740"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0</w:t>
            </w:r>
          </w:p>
        </w:tc>
        <w:tc>
          <w:tcPr>
            <w:tcW w:w="1540"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2493"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3-5</w:t>
            </w:r>
          </w:p>
        </w:tc>
        <w:tc>
          <w:tcPr>
            <w:tcW w:w="1380"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r>
      <w:tr w:rsidR="00C97CE2" w:rsidRPr="00C97CE2" w:rsidTr="00C86955">
        <w:trPr>
          <w:trHeight w:val="300"/>
        </w:trPr>
        <w:tc>
          <w:tcPr>
            <w:tcW w:w="3416" w:type="dxa"/>
            <w:tcBorders>
              <w:top w:val="nil"/>
              <w:left w:val="nil"/>
              <w:bottom w:val="nil"/>
              <w:right w:val="nil"/>
            </w:tcBorders>
            <w:shd w:val="clear" w:color="000000" w:fill="FFFFFF"/>
            <w:noWrap/>
            <w:vAlign w:val="bottom"/>
            <w:hideMark/>
          </w:tcPr>
          <w:p w:rsidR="00C97CE2" w:rsidRPr="00C97CE2" w:rsidRDefault="00C97CE2" w:rsidP="000861E1">
            <w:pPr>
              <w:spacing w:after="0" w:line="240" w:lineRule="auto"/>
              <w:rPr>
                <w:rFonts w:ascii="Times New Roman" w:eastAsia="Times New Roman" w:hAnsi="Times New Roman" w:cs="Times New Roman"/>
                <w:color w:val="000000"/>
                <w:sz w:val="24"/>
                <w:szCs w:val="24"/>
                <w:lang w:val="en-US" w:eastAsia="pt-BR"/>
              </w:rPr>
            </w:pPr>
            <w:proofErr w:type="spellStart"/>
            <w:r w:rsidRPr="00C97CE2">
              <w:rPr>
                <w:rFonts w:ascii="Times New Roman" w:eastAsia="Times New Roman" w:hAnsi="Times New Roman" w:cs="Times New Roman"/>
                <w:color w:val="000000"/>
                <w:sz w:val="24"/>
                <w:szCs w:val="24"/>
                <w:lang w:val="en-US" w:eastAsia="pt-BR"/>
              </w:rPr>
              <w:t>Kihon</w:t>
            </w:r>
            <w:proofErr w:type="spellEnd"/>
            <w:r w:rsidRPr="00C97CE2">
              <w:rPr>
                <w:rFonts w:ascii="Times New Roman" w:eastAsia="Times New Roman" w:hAnsi="Times New Roman" w:cs="Times New Roman"/>
                <w:color w:val="000000"/>
                <w:sz w:val="24"/>
                <w:szCs w:val="24"/>
                <w:lang w:val="en-US" w:eastAsia="pt-BR"/>
              </w:rPr>
              <w:t xml:space="preserve"> checklist*</w:t>
            </w:r>
            <w:r w:rsidR="000861E1">
              <w:rPr>
                <w:rFonts w:ascii="Times New Roman" w:eastAsia="Times New Roman" w:hAnsi="Times New Roman" w:cs="Times New Roman"/>
                <w:color w:val="000000"/>
                <w:sz w:val="24"/>
                <w:szCs w:val="24"/>
                <w:lang w:val="en-US" w:eastAsia="pt-BR"/>
              </w:rPr>
              <w:t xml:space="preserve"> (5)</w:t>
            </w:r>
            <w:r w:rsidR="000861E1" w:rsidRPr="00C97CE2">
              <w:rPr>
                <w:rFonts w:ascii="Times New Roman" w:eastAsia="Times New Roman" w:hAnsi="Times New Roman" w:cs="Times New Roman"/>
                <w:color w:val="000000"/>
                <w:sz w:val="24"/>
                <w:szCs w:val="24"/>
                <w:lang w:val="en-US" w:eastAsia="pt-BR"/>
              </w:rPr>
              <w:t xml:space="preserve"> </w:t>
            </w:r>
          </w:p>
        </w:tc>
        <w:tc>
          <w:tcPr>
            <w:tcW w:w="1053"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302"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0</w:t>
            </w:r>
          </w:p>
        </w:tc>
        <w:tc>
          <w:tcPr>
            <w:tcW w:w="2229"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740" w:type="dxa"/>
            <w:tcBorders>
              <w:top w:val="nil"/>
              <w:left w:val="nil"/>
              <w:bottom w:val="nil"/>
              <w:right w:val="nil"/>
            </w:tcBorders>
            <w:shd w:val="clear" w:color="000000" w:fill="FFFFFF"/>
            <w:noWrap/>
            <w:vAlign w:val="bottom"/>
            <w:hideMark/>
          </w:tcPr>
          <w:p w:rsidR="00C97CE2" w:rsidRPr="00C97CE2" w:rsidRDefault="006954FE" w:rsidP="00C869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p>
        </w:tc>
        <w:tc>
          <w:tcPr>
            <w:tcW w:w="1540"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2493"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25</w:t>
            </w:r>
          </w:p>
        </w:tc>
        <w:tc>
          <w:tcPr>
            <w:tcW w:w="1380"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r>
      <w:tr w:rsidR="00C97CE2" w:rsidRPr="00C97CE2" w:rsidTr="00C86955">
        <w:trPr>
          <w:trHeight w:val="300"/>
        </w:trPr>
        <w:tc>
          <w:tcPr>
            <w:tcW w:w="3416"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SOF</w:t>
            </w:r>
            <w:r w:rsidR="00CF47BC">
              <w:rPr>
                <w:rFonts w:ascii="Times New Roman" w:eastAsia="Times New Roman" w:hAnsi="Times New Roman" w:cs="Times New Roman"/>
                <w:color w:val="000000"/>
                <w:sz w:val="24"/>
                <w:szCs w:val="24"/>
                <w:lang w:val="en-US" w:eastAsia="pt-BR"/>
              </w:rPr>
              <w:fldChar w:fldCharType="begin" w:fldLock="1"/>
            </w:r>
            <w:r w:rsidR="00574E76">
              <w:rPr>
                <w:rFonts w:ascii="Times New Roman" w:eastAsia="Times New Roman" w:hAnsi="Times New Roman" w:cs="Times New Roman"/>
                <w:color w:val="000000"/>
                <w:sz w:val="24"/>
                <w:szCs w:val="24"/>
                <w:lang w:val="en-US" w:eastAsia="pt-BR"/>
              </w:rPr>
              <w:instrText>ADDIN CSL_CITATION {"citationItems":[{"id":"ITEM-1","itemData":{"DOI":"10.1001/archinternmed.2007.113","ISSN":"0003-9926","abstract":"&lt;h3&gt;Background&lt;/h3&gt;&lt;p&gt;Frailty, as defined by the index derived from the Cardiovascular Health Study (CHS index), predicts risk of adverse outcomes in older adults. Use of this index, however, is impractical in clinical practice.&lt;/p&gt;&lt;h3&gt;Methods&lt;/h3&gt;&lt;p&gt;We conducted a prospective cohort study in 6701 women 69 years or older to compare the predictive validity of a simple frailty index with the components of weight loss, inability to rise from a chair 5 times without using arms, and reduced energy level (Study of Osteoporotic Fractures [SOF index]) with that of the CHS index with the components of unintentional weight loss, poor grip strength, reduced energy level, slow walking speed, and low level of physical activity. Women were classified as robust, of intermediate status, or frail using each index. Falls were reported every 4 months for 1 year. Disability (≥1 new impairment in performing instrumental activities of daily living) was ascertained at 4½ years, and fractures and deaths were ascertained during 9 years of follow-up. Area under the curve (AUC) statistics from receiver operating characteristic curve analysis and −2 log likelihood statistics were compared for models containing the CHS index vs the SOF index.&lt;/p&gt;&lt;h3&gt;Results&lt;/h3&gt;&lt;p&gt;Increasing evidence of frailty as defined by either the CHS index or the SOF index was similarly associated with an increased risk of adverse outcomes. Frail women had a higher age-adjusted risk of recurrent falls (odds ratio, 2.4), disability (odds ratio, 2.2-2.8), nonspine fracture (hazard ratio, 1.4-1.5), hip fracture (hazard ratio, 1.7-1.8), and death (hazard ratio, 2.4-2.7) (&lt;i&gt;P&lt;/i&gt; &amp;lt; .001 for all models). The AUC comparisons revealed no differences between models with the CHS index vs the SOF index in discriminating falls (AUC = 0.61 for both models;&lt;i&gt;P&lt;/i&gt; = .66), disability (AUC = 0.64;&lt;i&gt;P&lt;/i&gt; = .23), nonspine fracture (AUC = 0.55;&lt;i&gt;P&lt;/i&gt; = .80), hip fracture (AUC = 0.63;&lt;i&gt;P&lt;/i&gt; = .64), or death (AUC = 0.72;&lt;i&gt;P&lt;/i&gt; = .10). Results were similar when −2 log likelihood statistics were compared.&lt;/p&gt;&lt;h3&gt;Conclusion&lt;/h3&gt;&lt;p&gt;The simple SOF index predicts risk of falls, disability, fracture, and death as well as the more complex CHS index and may provide a useful definition of frailty to identify older women at risk of adverse health outcomes in clinical practice.&lt;/p&gt;","author":[{"dropping-particle":"","family":"Ensrud","given":"Kristine E.","non-dropping-particle":"","parse-names":false,"suffix":""},{"dropping-particle":"","family":"Ewing","given":"Susan K.","non-dropping-particle":"","parse-names":false,"suffix":""},{"dropping-particle":"","family":"Taylor","given":"Brent C.","non-dropping-particle":"","parse-names":false,"suffix":""},{"dropping-particle":"","family":"Fink","given":"Howard A.","non-dropping-particle":"","parse-names":false,"suffix":""},{"dropping-particle":"","family":"Cawthon","given":"Peggy M.","non-dropping-particle":"","parse-names":false,"suffix":""},{"dropping-particle":"","family":"Stone","given":"Katie L.","non-dropping-particle":"","parse-names":false,"suffix":""},{"dropping-particle":"","family":"Hillier","given":"Teresa A.","non-dropping-particle":"","parse-names":false,"suffix":""},{"dropping-particle":"","family":"Cauley","given":"Jane A.","non-dropping-particle":"","parse-names":false,"suffix":""},{"dropping-particle":"","family":"Hochberg","given":"Marc C.","non-dropping-particle":"","parse-names":false,"suffix":""},{"dropping-particle":"","family":"Rodondi","given":"Nicolas","non-dropping-particle":"","parse-names":false,"suffix":""},{"dropping-particle":"","family":"Tracy","given":"J. Kathleen","non-dropping-particle":"","parse-names":false,"suffix":""},{"dropping-particle":"","family":"Cummings","given":"Steven R.","non-dropping-particle":"","parse-names":false,"suffix":""}],"container-title":"Archives of Internal Medicine","id":"ITEM-1","issue":"4","issued":{"date-parts":[["2008","2","25"]]},"page":"382","publisher":"American Medical Association","title":"Comparison of 2 Frailty Indexes for Prediction of Falls, Disability, Fractures, and Death in Older Women","type":"article-journal","volume":"168"},"uris":["http://www.mendeley.com/documents/?uuid=bf4901b5-19fe-3b2f-b769-73fc224b5bfd"]}],"mendeley":{"formattedCitation":"&lt;sup&gt;6&lt;/sup&gt;","plainTextFormattedCitation":"6","previouslyFormattedCitation":"&lt;span style=\"baseline\"&gt;(6)&lt;/span&gt;"},"properties":{"noteIndex":0},"schema":"https://github.com/citation-style-language/schema/raw/master/csl-citation.json"}</w:instrText>
            </w:r>
            <w:r w:rsidR="00CF47BC">
              <w:rPr>
                <w:rFonts w:ascii="Times New Roman" w:eastAsia="Times New Roman" w:hAnsi="Times New Roman" w:cs="Times New Roman"/>
                <w:color w:val="000000"/>
                <w:sz w:val="24"/>
                <w:szCs w:val="24"/>
                <w:lang w:val="en-US" w:eastAsia="pt-BR"/>
              </w:rPr>
              <w:fldChar w:fldCharType="separate"/>
            </w:r>
            <w:r w:rsidR="00574E76" w:rsidRPr="00574E76">
              <w:rPr>
                <w:rFonts w:ascii="Times New Roman" w:eastAsia="Times New Roman" w:hAnsi="Times New Roman" w:cs="Times New Roman"/>
                <w:noProof/>
                <w:color w:val="000000"/>
                <w:sz w:val="24"/>
                <w:szCs w:val="24"/>
                <w:vertAlign w:val="superscript"/>
                <w:lang w:val="en-US" w:eastAsia="pt-BR"/>
              </w:rPr>
              <w:t>6</w:t>
            </w:r>
            <w:r w:rsidR="00CF47BC">
              <w:rPr>
                <w:rFonts w:ascii="Times New Roman" w:eastAsia="Times New Roman" w:hAnsi="Times New Roman" w:cs="Times New Roman"/>
                <w:color w:val="000000"/>
                <w:sz w:val="24"/>
                <w:szCs w:val="24"/>
                <w:lang w:val="en-US" w:eastAsia="pt-BR"/>
              </w:rPr>
              <w:fldChar w:fldCharType="end"/>
            </w:r>
          </w:p>
        </w:tc>
        <w:tc>
          <w:tcPr>
            <w:tcW w:w="1053"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302" w:type="dxa"/>
            <w:tcBorders>
              <w:top w:val="nil"/>
              <w:left w:val="nil"/>
              <w:bottom w:val="nil"/>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0</w:t>
            </w:r>
          </w:p>
        </w:tc>
        <w:tc>
          <w:tcPr>
            <w:tcW w:w="2229"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7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0</w:t>
            </w:r>
          </w:p>
        </w:tc>
        <w:tc>
          <w:tcPr>
            <w:tcW w:w="15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2493"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2-3</w:t>
            </w:r>
          </w:p>
        </w:tc>
        <w:tc>
          <w:tcPr>
            <w:tcW w:w="138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r>
      <w:tr w:rsidR="00C97CE2" w:rsidRPr="00C97CE2" w:rsidTr="00C86955">
        <w:trPr>
          <w:trHeight w:val="300"/>
        </w:trPr>
        <w:tc>
          <w:tcPr>
            <w:tcW w:w="3416"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053" w:type="dxa"/>
            <w:tcBorders>
              <w:top w:val="single" w:sz="4" w:space="0" w:color="auto"/>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302" w:type="dxa"/>
            <w:tcBorders>
              <w:top w:val="single" w:sz="4" w:space="0" w:color="auto"/>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No frailty</w:t>
            </w:r>
          </w:p>
        </w:tc>
        <w:tc>
          <w:tcPr>
            <w:tcW w:w="2229"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7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Visible Vulnerable</w:t>
            </w:r>
            <w:r w:rsidR="005C4562">
              <w:rPr>
                <w:rFonts w:ascii="Times New Roman" w:eastAsia="Times New Roman" w:hAnsi="Times New Roman" w:cs="Times New Roman"/>
                <w:color w:val="000000"/>
                <w:sz w:val="24"/>
                <w:szCs w:val="24"/>
                <w:lang w:val="en-US" w:eastAsia="pt-BR"/>
              </w:rPr>
              <w:t xml:space="preserve"> Frailty</w:t>
            </w:r>
          </w:p>
        </w:tc>
        <w:tc>
          <w:tcPr>
            <w:tcW w:w="15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2493"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Mild, Moderate, and Severe</w:t>
            </w:r>
            <w:r w:rsidR="005C4562">
              <w:rPr>
                <w:rFonts w:ascii="Times New Roman" w:eastAsia="Times New Roman" w:hAnsi="Times New Roman" w:cs="Times New Roman"/>
                <w:color w:val="000000"/>
                <w:sz w:val="24"/>
                <w:szCs w:val="24"/>
                <w:lang w:val="en-US" w:eastAsia="pt-BR"/>
              </w:rPr>
              <w:t xml:space="preserve"> Frailty</w:t>
            </w:r>
          </w:p>
        </w:tc>
        <w:tc>
          <w:tcPr>
            <w:tcW w:w="138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r>
      <w:tr w:rsidR="00C97CE2" w:rsidRPr="00C97CE2" w:rsidTr="00C86955">
        <w:trPr>
          <w:trHeight w:val="300"/>
        </w:trPr>
        <w:tc>
          <w:tcPr>
            <w:tcW w:w="3416" w:type="dxa"/>
            <w:tcBorders>
              <w:top w:val="nil"/>
              <w:left w:val="nil"/>
              <w:bottom w:val="single" w:sz="4" w:space="0" w:color="auto"/>
              <w:right w:val="nil"/>
            </w:tcBorders>
            <w:shd w:val="clear" w:color="000000" w:fill="FFFFFF"/>
            <w:noWrap/>
            <w:vAlign w:val="bottom"/>
            <w:hideMark/>
          </w:tcPr>
          <w:p w:rsidR="00C97CE2" w:rsidRPr="00C97CE2" w:rsidRDefault="00C97CE2" w:rsidP="000861E1">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Edmonton frailty scale</w:t>
            </w:r>
            <w:r w:rsidR="000861E1">
              <w:rPr>
                <w:rFonts w:ascii="Times New Roman" w:eastAsia="Times New Roman" w:hAnsi="Times New Roman" w:cs="Times New Roman"/>
                <w:color w:val="000000"/>
                <w:sz w:val="24"/>
                <w:szCs w:val="24"/>
                <w:lang w:val="en-US" w:eastAsia="pt-BR"/>
              </w:rPr>
              <w:t xml:space="preserve"> (7,8)</w:t>
            </w:r>
            <w:r w:rsidR="000861E1" w:rsidRPr="00C97CE2">
              <w:rPr>
                <w:rFonts w:ascii="Times New Roman" w:eastAsia="Times New Roman" w:hAnsi="Times New Roman" w:cs="Times New Roman"/>
                <w:color w:val="000000"/>
                <w:sz w:val="24"/>
                <w:szCs w:val="24"/>
                <w:lang w:val="en-US" w:eastAsia="pt-BR"/>
              </w:rPr>
              <w:t xml:space="preserve"> </w:t>
            </w:r>
          </w:p>
        </w:tc>
        <w:tc>
          <w:tcPr>
            <w:tcW w:w="1053"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302"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0-4</w:t>
            </w:r>
          </w:p>
        </w:tc>
        <w:tc>
          <w:tcPr>
            <w:tcW w:w="2229"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7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5-6</w:t>
            </w:r>
          </w:p>
        </w:tc>
        <w:tc>
          <w:tcPr>
            <w:tcW w:w="15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2493"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≥7</w:t>
            </w:r>
          </w:p>
        </w:tc>
        <w:tc>
          <w:tcPr>
            <w:tcW w:w="138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r>
      <w:tr w:rsidR="00C97CE2" w:rsidRPr="00C97CE2" w:rsidTr="00C86955">
        <w:trPr>
          <w:trHeight w:val="600"/>
        </w:trPr>
        <w:tc>
          <w:tcPr>
            <w:tcW w:w="3416"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053"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Very fit</w:t>
            </w:r>
          </w:p>
        </w:tc>
        <w:tc>
          <w:tcPr>
            <w:tcW w:w="1302"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Well</w:t>
            </w:r>
          </w:p>
        </w:tc>
        <w:tc>
          <w:tcPr>
            <w:tcW w:w="2229" w:type="dxa"/>
            <w:tcBorders>
              <w:top w:val="nil"/>
              <w:left w:val="nil"/>
              <w:bottom w:val="single" w:sz="4" w:space="0" w:color="auto"/>
              <w:right w:val="nil"/>
            </w:tcBorders>
            <w:shd w:val="clear" w:color="000000" w:fill="FFFFFF"/>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Well, with threated comorbid disease</w:t>
            </w:r>
          </w:p>
        </w:tc>
        <w:tc>
          <w:tcPr>
            <w:tcW w:w="1740" w:type="dxa"/>
            <w:tcBorders>
              <w:top w:val="nil"/>
              <w:left w:val="nil"/>
              <w:bottom w:val="single" w:sz="4" w:space="0" w:color="auto"/>
              <w:right w:val="nil"/>
            </w:tcBorders>
            <w:shd w:val="clear" w:color="000000" w:fill="FFFFFF"/>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Apparently vulnerable</w:t>
            </w:r>
          </w:p>
        </w:tc>
        <w:tc>
          <w:tcPr>
            <w:tcW w:w="15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Mildly frail</w:t>
            </w:r>
          </w:p>
        </w:tc>
        <w:tc>
          <w:tcPr>
            <w:tcW w:w="2493"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Moderately frail</w:t>
            </w:r>
          </w:p>
        </w:tc>
        <w:tc>
          <w:tcPr>
            <w:tcW w:w="138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Severely frail</w:t>
            </w:r>
          </w:p>
        </w:tc>
      </w:tr>
      <w:tr w:rsidR="00C97CE2" w:rsidRPr="00C97CE2" w:rsidTr="00C86955">
        <w:trPr>
          <w:trHeight w:val="300"/>
        </w:trPr>
        <w:tc>
          <w:tcPr>
            <w:tcW w:w="3416" w:type="dxa"/>
            <w:tcBorders>
              <w:top w:val="nil"/>
              <w:left w:val="nil"/>
              <w:bottom w:val="single" w:sz="4" w:space="0" w:color="auto"/>
              <w:right w:val="nil"/>
            </w:tcBorders>
            <w:shd w:val="clear" w:color="000000" w:fill="FFFFFF"/>
            <w:noWrap/>
            <w:vAlign w:val="bottom"/>
            <w:hideMark/>
          </w:tcPr>
          <w:p w:rsidR="00C97CE2" w:rsidRPr="00C97CE2" w:rsidRDefault="00C97CE2" w:rsidP="000861E1">
            <w:pPr>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Clinical Frailty Scale</w:t>
            </w:r>
            <w:r w:rsidR="000861E1">
              <w:rPr>
                <w:rFonts w:ascii="Times New Roman" w:eastAsia="Times New Roman" w:hAnsi="Times New Roman" w:cs="Times New Roman"/>
                <w:color w:val="000000"/>
                <w:sz w:val="24"/>
                <w:szCs w:val="24"/>
                <w:lang w:val="en-US" w:eastAsia="pt-BR"/>
              </w:rPr>
              <w:t xml:space="preserve"> (9)</w:t>
            </w:r>
          </w:p>
        </w:tc>
        <w:tc>
          <w:tcPr>
            <w:tcW w:w="1053"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1</w:t>
            </w:r>
          </w:p>
        </w:tc>
        <w:tc>
          <w:tcPr>
            <w:tcW w:w="1302"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2</w:t>
            </w:r>
          </w:p>
        </w:tc>
        <w:tc>
          <w:tcPr>
            <w:tcW w:w="2229"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3</w:t>
            </w:r>
          </w:p>
        </w:tc>
        <w:tc>
          <w:tcPr>
            <w:tcW w:w="17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4</w:t>
            </w:r>
          </w:p>
        </w:tc>
        <w:tc>
          <w:tcPr>
            <w:tcW w:w="154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5</w:t>
            </w:r>
          </w:p>
        </w:tc>
        <w:tc>
          <w:tcPr>
            <w:tcW w:w="2493"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6</w:t>
            </w:r>
          </w:p>
        </w:tc>
        <w:tc>
          <w:tcPr>
            <w:tcW w:w="1380" w:type="dxa"/>
            <w:tcBorders>
              <w:top w:val="nil"/>
              <w:left w:val="nil"/>
              <w:bottom w:val="single" w:sz="4" w:space="0" w:color="auto"/>
              <w:right w:val="nil"/>
            </w:tcBorders>
            <w:shd w:val="clear" w:color="000000" w:fill="FFFFFF"/>
            <w:noWrap/>
            <w:vAlign w:val="bottom"/>
            <w:hideMark/>
          </w:tcPr>
          <w:p w:rsidR="00C97CE2" w:rsidRPr="00C97CE2" w:rsidRDefault="00C97CE2" w:rsidP="00C86955">
            <w:pPr>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7</w:t>
            </w:r>
          </w:p>
        </w:tc>
      </w:tr>
      <w:tr w:rsidR="00C97CE2" w:rsidRPr="00C97CE2" w:rsidTr="00C86955">
        <w:trPr>
          <w:trHeight w:val="300"/>
        </w:trPr>
        <w:tc>
          <w:tcPr>
            <w:tcW w:w="5771" w:type="dxa"/>
            <w:gridSpan w:val="3"/>
            <w:tcBorders>
              <w:top w:val="nil"/>
              <w:left w:val="nil"/>
              <w:bottom w:val="nil"/>
              <w:right w:val="nil"/>
            </w:tcBorders>
            <w:shd w:val="clear" w:color="000000" w:fill="FFFFFF"/>
            <w:noWrap/>
            <w:vAlign w:val="bottom"/>
            <w:hideMark/>
          </w:tcPr>
          <w:p w:rsidR="00C97CE2" w:rsidRPr="00C97CE2" w:rsidRDefault="00C97CE2" w:rsidP="000861E1">
            <w:pPr>
              <w:widowControl w:val="0"/>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w:t>
            </w:r>
            <w:r w:rsidR="000861E1">
              <w:rPr>
                <w:rFonts w:ascii="Times New Roman" w:eastAsia="Times New Roman" w:hAnsi="Times New Roman" w:cs="Times New Roman"/>
                <w:color w:val="000000"/>
                <w:sz w:val="24"/>
                <w:szCs w:val="24"/>
                <w:lang w:val="en-US" w:eastAsia="pt-BR"/>
              </w:rPr>
              <w:t xml:space="preserve"> </w:t>
            </w:r>
            <w:r w:rsidRPr="00C97CE2">
              <w:rPr>
                <w:rFonts w:ascii="Times New Roman" w:eastAsia="Times New Roman" w:hAnsi="Times New Roman" w:cs="Times New Roman"/>
                <w:color w:val="000000"/>
                <w:sz w:val="24"/>
                <w:szCs w:val="24"/>
                <w:lang w:val="en-US" w:eastAsia="pt-BR"/>
              </w:rPr>
              <w:t xml:space="preserve">There is no </w:t>
            </w:r>
            <w:r w:rsidR="000861E1">
              <w:rPr>
                <w:rFonts w:ascii="Times New Roman" w:eastAsia="Times New Roman" w:hAnsi="Times New Roman" w:cs="Times New Roman"/>
                <w:color w:val="000000"/>
                <w:sz w:val="24"/>
                <w:szCs w:val="24"/>
                <w:lang w:val="en-US" w:eastAsia="pt-BR"/>
              </w:rPr>
              <w:t>established</w:t>
            </w:r>
            <w:r w:rsidRPr="00C97CE2">
              <w:rPr>
                <w:rFonts w:ascii="Times New Roman" w:eastAsia="Times New Roman" w:hAnsi="Times New Roman" w:cs="Times New Roman"/>
                <w:color w:val="000000"/>
                <w:sz w:val="24"/>
                <w:szCs w:val="24"/>
                <w:lang w:val="en-US" w:eastAsia="pt-BR"/>
              </w:rPr>
              <w:t xml:space="preserve"> cut</w:t>
            </w:r>
            <w:r w:rsidR="000861E1">
              <w:rPr>
                <w:rFonts w:ascii="Times New Roman" w:eastAsia="Times New Roman" w:hAnsi="Times New Roman" w:cs="Times New Roman"/>
                <w:color w:val="000000"/>
                <w:sz w:val="24"/>
                <w:szCs w:val="24"/>
                <w:lang w:val="en-US" w:eastAsia="pt-BR"/>
              </w:rPr>
              <w:t>-</w:t>
            </w:r>
            <w:r w:rsidRPr="00C97CE2">
              <w:rPr>
                <w:rFonts w:ascii="Times New Roman" w:eastAsia="Times New Roman" w:hAnsi="Times New Roman" w:cs="Times New Roman"/>
                <w:color w:val="000000"/>
                <w:sz w:val="24"/>
                <w:szCs w:val="24"/>
                <w:lang w:val="en-US" w:eastAsia="pt-BR"/>
              </w:rPr>
              <w:t xml:space="preserve">off for the </w:t>
            </w:r>
            <w:proofErr w:type="spellStart"/>
            <w:r w:rsidRPr="00C97CE2">
              <w:rPr>
                <w:rFonts w:ascii="Times New Roman" w:eastAsia="Times New Roman" w:hAnsi="Times New Roman" w:cs="Times New Roman"/>
                <w:color w:val="000000"/>
                <w:sz w:val="24"/>
                <w:szCs w:val="24"/>
                <w:lang w:val="en-US" w:eastAsia="pt-BR"/>
              </w:rPr>
              <w:t>Kihon</w:t>
            </w:r>
            <w:proofErr w:type="spellEnd"/>
            <w:r w:rsidRPr="00C97CE2">
              <w:rPr>
                <w:rFonts w:ascii="Times New Roman" w:eastAsia="Times New Roman" w:hAnsi="Times New Roman" w:cs="Times New Roman"/>
                <w:color w:val="000000"/>
                <w:sz w:val="24"/>
                <w:szCs w:val="24"/>
                <w:lang w:val="en-US" w:eastAsia="pt-BR"/>
              </w:rPr>
              <w:t xml:space="preserve"> checklist</w:t>
            </w:r>
          </w:p>
        </w:tc>
        <w:tc>
          <w:tcPr>
            <w:tcW w:w="2229" w:type="dxa"/>
            <w:tcBorders>
              <w:top w:val="nil"/>
              <w:left w:val="nil"/>
              <w:bottom w:val="nil"/>
              <w:right w:val="nil"/>
            </w:tcBorders>
            <w:shd w:val="clear" w:color="000000" w:fill="FFFFFF"/>
            <w:noWrap/>
            <w:vAlign w:val="bottom"/>
            <w:hideMark/>
          </w:tcPr>
          <w:p w:rsidR="00C97CE2" w:rsidRPr="00C97CE2" w:rsidRDefault="00C97CE2" w:rsidP="000861E1">
            <w:pPr>
              <w:widowControl w:val="0"/>
              <w:spacing w:after="0" w:line="240" w:lineRule="auto"/>
              <w:jc w:val="center"/>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740" w:type="dxa"/>
            <w:tcBorders>
              <w:top w:val="nil"/>
              <w:left w:val="nil"/>
              <w:bottom w:val="nil"/>
              <w:right w:val="nil"/>
            </w:tcBorders>
            <w:shd w:val="clear" w:color="000000" w:fill="FFFFFF"/>
            <w:noWrap/>
            <w:vAlign w:val="bottom"/>
            <w:hideMark/>
          </w:tcPr>
          <w:p w:rsidR="00C97CE2" w:rsidRPr="00C97CE2" w:rsidRDefault="00C97CE2" w:rsidP="000861E1">
            <w:pPr>
              <w:widowControl w:val="0"/>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540" w:type="dxa"/>
            <w:tcBorders>
              <w:top w:val="nil"/>
              <w:left w:val="nil"/>
              <w:bottom w:val="nil"/>
              <w:right w:val="nil"/>
            </w:tcBorders>
            <w:shd w:val="clear" w:color="000000" w:fill="FFFFFF"/>
            <w:noWrap/>
            <w:vAlign w:val="bottom"/>
            <w:hideMark/>
          </w:tcPr>
          <w:p w:rsidR="00C97CE2" w:rsidRPr="00C97CE2" w:rsidRDefault="00C97CE2" w:rsidP="000861E1">
            <w:pPr>
              <w:widowControl w:val="0"/>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2493" w:type="dxa"/>
            <w:tcBorders>
              <w:top w:val="nil"/>
              <w:left w:val="nil"/>
              <w:bottom w:val="nil"/>
              <w:right w:val="nil"/>
            </w:tcBorders>
            <w:shd w:val="clear" w:color="000000" w:fill="FFFFFF"/>
            <w:noWrap/>
            <w:vAlign w:val="bottom"/>
            <w:hideMark/>
          </w:tcPr>
          <w:p w:rsidR="00C97CE2" w:rsidRPr="00C97CE2" w:rsidRDefault="00C97CE2" w:rsidP="000861E1">
            <w:pPr>
              <w:widowControl w:val="0"/>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c>
          <w:tcPr>
            <w:tcW w:w="1380" w:type="dxa"/>
            <w:tcBorders>
              <w:top w:val="nil"/>
              <w:left w:val="nil"/>
              <w:bottom w:val="nil"/>
              <w:right w:val="nil"/>
            </w:tcBorders>
            <w:shd w:val="clear" w:color="000000" w:fill="FFFFFF"/>
            <w:noWrap/>
            <w:vAlign w:val="bottom"/>
            <w:hideMark/>
          </w:tcPr>
          <w:p w:rsidR="00C97CE2" w:rsidRPr="00C97CE2" w:rsidRDefault="00C97CE2" w:rsidP="000861E1">
            <w:pPr>
              <w:widowControl w:val="0"/>
              <w:spacing w:after="0" w:line="240" w:lineRule="auto"/>
              <w:rPr>
                <w:rFonts w:ascii="Times New Roman" w:eastAsia="Times New Roman" w:hAnsi="Times New Roman" w:cs="Times New Roman"/>
                <w:color w:val="000000"/>
                <w:sz w:val="24"/>
                <w:szCs w:val="24"/>
                <w:lang w:val="en-US" w:eastAsia="pt-BR"/>
              </w:rPr>
            </w:pPr>
            <w:r w:rsidRPr="00C97CE2">
              <w:rPr>
                <w:rFonts w:ascii="Times New Roman" w:eastAsia="Times New Roman" w:hAnsi="Times New Roman" w:cs="Times New Roman"/>
                <w:color w:val="000000"/>
                <w:sz w:val="24"/>
                <w:szCs w:val="24"/>
                <w:lang w:val="en-US" w:eastAsia="pt-BR"/>
              </w:rPr>
              <w:t> </w:t>
            </w:r>
          </w:p>
        </w:tc>
      </w:tr>
    </w:tbl>
    <w:p w:rsidR="00C97CE2" w:rsidRPr="00C97CE2" w:rsidRDefault="00C86955" w:rsidP="000861E1">
      <w:pPr>
        <w:widowControl w:val="0"/>
        <w:spacing w:after="0"/>
        <w:rPr>
          <w:rFonts w:ascii="Times New Roman" w:hAnsi="Times New Roman" w:cs="Times New Roman"/>
          <w:sz w:val="24"/>
          <w:szCs w:val="24"/>
          <w:lang w:val="en-US"/>
        </w:rPr>
      </w:pPr>
      <w:r w:rsidRPr="00C86955">
        <w:rPr>
          <w:rFonts w:ascii="Times New Roman" w:hAnsi="Times New Roman" w:cs="Times New Roman"/>
          <w:b/>
          <w:sz w:val="24"/>
          <w:szCs w:val="24"/>
          <w:lang w:val="en-US"/>
        </w:rPr>
        <w:t>Supplementary material 3</w:t>
      </w:r>
      <w:r>
        <w:rPr>
          <w:rFonts w:ascii="Times New Roman" w:hAnsi="Times New Roman" w:cs="Times New Roman"/>
          <w:sz w:val="24"/>
          <w:szCs w:val="24"/>
          <w:lang w:val="en-US"/>
        </w:rPr>
        <w:t>: cut</w:t>
      </w:r>
      <w:r w:rsidR="000861E1">
        <w:rPr>
          <w:rFonts w:ascii="Times New Roman" w:hAnsi="Times New Roman" w:cs="Times New Roman"/>
          <w:sz w:val="24"/>
          <w:szCs w:val="24"/>
          <w:lang w:val="en-US"/>
        </w:rPr>
        <w:t>-</w:t>
      </w:r>
      <w:r>
        <w:rPr>
          <w:rFonts w:ascii="Times New Roman" w:hAnsi="Times New Roman" w:cs="Times New Roman"/>
          <w:sz w:val="24"/>
          <w:szCs w:val="24"/>
          <w:lang w:val="en-US"/>
        </w:rPr>
        <w:t xml:space="preserve">off values </w:t>
      </w:r>
      <w:r w:rsidR="000861E1">
        <w:rPr>
          <w:rFonts w:ascii="Times New Roman" w:hAnsi="Times New Roman" w:cs="Times New Roman"/>
          <w:sz w:val="24"/>
          <w:szCs w:val="24"/>
          <w:lang w:val="en-US"/>
        </w:rPr>
        <w:t>for</w:t>
      </w:r>
      <w:r>
        <w:rPr>
          <w:rFonts w:ascii="Times New Roman" w:hAnsi="Times New Roman" w:cs="Times New Roman"/>
          <w:sz w:val="24"/>
          <w:szCs w:val="24"/>
          <w:lang w:val="en-US"/>
        </w:rPr>
        <w:t xml:space="preserve"> frailty assessment instruments</w:t>
      </w:r>
    </w:p>
    <w:p w:rsidR="000861E1" w:rsidRDefault="000861E1" w:rsidP="000861E1">
      <w:pPr>
        <w:widowControl w:val="0"/>
        <w:spacing w:after="0"/>
        <w:rPr>
          <w:rFonts w:ascii="Times New Roman" w:hAnsi="Times New Roman" w:cs="Times New Roman"/>
          <w:b/>
          <w:bCs/>
          <w:sz w:val="24"/>
          <w:szCs w:val="24"/>
          <w:lang w:val="en-US"/>
        </w:rPr>
      </w:pPr>
    </w:p>
    <w:p w:rsidR="00C97CE2" w:rsidRDefault="00C97CE2" w:rsidP="000861E1">
      <w:pPr>
        <w:widowControl w:val="0"/>
        <w:spacing w:after="0"/>
        <w:rPr>
          <w:rFonts w:ascii="Times New Roman" w:hAnsi="Times New Roman" w:cs="Times New Roman"/>
          <w:b/>
          <w:bCs/>
          <w:sz w:val="24"/>
          <w:szCs w:val="24"/>
          <w:lang w:val="en-US"/>
        </w:rPr>
      </w:pPr>
      <w:r w:rsidRPr="00C97CE2">
        <w:rPr>
          <w:rFonts w:ascii="Times New Roman" w:hAnsi="Times New Roman" w:cs="Times New Roman"/>
          <w:b/>
          <w:bCs/>
          <w:sz w:val="24"/>
          <w:szCs w:val="24"/>
          <w:lang w:val="en-US"/>
        </w:rPr>
        <w:t>References</w:t>
      </w:r>
    </w:p>
    <w:p w:rsidR="00574E76" w:rsidRPr="00574E76" w:rsidRDefault="00CF47BC" w:rsidP="000861E1">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bCs/>
          <w:sz w:val="24"/>
          <w:szCs w:val="24"/>
          <w:lang w:val="en-US"/>
        </w:rPr>
        <w:fldChar w:fldCharType="begin" w:fldLock="1"/>
      </w:r>
      <w:r w:rsidR="00C97CE2">
        <w:rPr>
          <w:rFonts w:ascii="Times New Roman" w:hAnsi="Times New Roman" w:cs="Times New Roman"/>
          <w:b/>
          <w:bCs/>
          <w:sz w:val="24"/>
          <w:szCs w:val="24"/>
          <w:lang w:val="en-US"/>
        </w:rPr>
        <w:instrText xml:space="preserve">ADDIN Mendeley Bibliography CSL_BIBLIOGRAPHY </w:instrText>
      </w:r>
      <w:r>
        <w:rPr>
          <w:rFonts w:ascii="Times New Roman" w:hAnsi="Times New Roman" w:cs="Times New Roman"/>
          <w:b/>
          <w:bCs/>
          <w:sz w:val="24"/>
          <w:szCs w:val="24"/>
          <w:lang w:val="en-US"/>
        </w:rPr>
        <w:fldChar w:fldCharType="separate"/>
      </w:r>
      <w:r w:rsidR="00574E76" w:rsidRPr="00574E76">
        <w:rPr>
          <w:rFonts w:ascii="Times New Roman" w:hAnsi="Times New Roman" w:cs="Times New Roman"/>
          <w:noProof/>
          <w:sz w:val="24"/>
          <w:szCs w:val="24"/>
        </w:rPr>
        <w:t xml:space="preserve">1. </w:t>
      </w:r>
      <w:r w:rsidR="00574E76" w:rsidRPr="00574E76">
        <w:rPr>
          <w:rFonts w:ascii="Times New Roman" w:hAnsi="Times New Roman" w:cs="Times New Roman"/>
          <w:noProof/>
          <w:sz w:val="24"/>
          <w:szCs w:val="24"/>
        </w:rPr>
        <w:tab/>
        <w:t>Fried LP, Tangen CM, Walston J, Newman AB, Hirsch C, Gottdiener J, et al. Frailty in older adults: evidence for a phenotype</w:t>
      </w:r>
      <w:r w:rsidR="000861E1">
        <w:rPr>
          <w:rFonts w:ascii="Times New Roman" w:hAnsi="Times New Roman" w:cs="Times New Roman"/>
          <w:noProof/>
          <w:sz w:val="24"/>
          <w:szCs w:val="24"/>
        </w:rPr>
        <w:t>. J Gerontol A Biol Sci Med Sci</w:t>
      </w:r>
      <w:r w:rsidR="00574E76" w:rsidRPr="00574E76">
        <w:rPr>
          <w:rFonts w:ascii="Times New Roman" w:hAnsi="Times New Roman" w:cs="Times New Roman"/>
          <w:noProof/>
          <w:sz w:val="24"/>
          <w:szCs w:val="24"/>
        </w:rPr>
        <w:t>. 2001;56(3):M146</w:t>
      </w:r>
      <w:r w:rsidR="000861E1" w:rsidRPr="00574E76">
        <w:rPr>
          <w:rFonts w:ascii="Times New Roman" w:hAnsi="Times New Roman" w:cs="Times New Roman"/>
          <w:noProof/>
          <w:sz w:val="24"/>
          <w:szCs w:val="24"/>
        </w:rPr>
        <w:t>–</w:t>
      </w:r>
      <w:r w:rsidR="00574E76" w:rsidRPr="00574E76">
        <w:rPr>
          <w:rFonts w:ascii="Times New Roman" w:hAnsi="Times New Roman" w:cs="Times New Roman"/>
          <w:noProof/>
          <w:sz w:val="24"/>
          <w:szCs w:val="24"/>
        </w:rPr>
        <w:t xml:space="preserve">56. </w:t>
      </w:r>
    </w:p>
    <w:p w:rsidR="00574E76" w:rsidRPr="00574E76" w:rsidRDefault="00574E76" w:rsidP="000861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74E76">
        <w:rPr>
          <w:rFonts w:ascii="Times New Roman" w:hAnsi="Times New Roman" w:cs="Times New Roman"/>
          <w:noProof/>
          <w:sz w:val="24"/>
          <w:szCs w:val="24"/>
        </w:rPr>
        <w:t xml:space="preserve">2. </w:t>
      </w:r>
      <w:r w:rsidRPr="00574E76">
        <w:rPr>
          <w:rFonts w:ascii="Times New Roman" w:hAnsi="Times New Roman" w:cs="Times New Roman"/>
          <w:noProof/>
          <w:sz w:val="24"/>
          <w:szCs w:val="24"/>
        </w:rPr>
        <w:tab/>
        <w:t>Santiago LM, Gobbens RJJ, van Assen MALM, Carmo CN, Ferreira DB, Mattos IE. Predictive validity of the Brazilian version of the Tilburg Frailty Indicator for adverse health outcomes in olde</w:t>
      </w:r>
      <w:r w:rsidR="000861E1">
        <w:rPr>
          <w:rFonts w:ascii="Times New Roman" w:hAnsi="Times New Roman" w:cs="Times New Roman"/>
          <w:noProof/>
          <w:sz w:val="24"/>
          <w:szCs w:val="24"/>
        </w:rPr>
        <w:t>r adults. Arch Gerontol Geriatr</w:t>
      </w:r>
      <w:r w:rsidRPr="00574E76">
        <w:rPr>
          <w:rFonts w:ascii="Times New Roman" w:hAnsi="Times New Roman" w:cs="Times New Roman"/>
          <w:noProof/>
          <w:sz w:val="24"/>
          <w:szCs w:val="24"/>
        </w:rPr>
        <w:t>. 2018</w:t>
      </w:r>
      <w:r w:rsidR="000861E1">
        <w:rPr>
          <w:rFonts w:ascii="Times New Roman" w:hAnsi="Times New Roman" w:cs="Times New Roman"/>
          <w:noProof/>
          <w:sz w:val="24"/>
          <w:szCs w:val="24"/>
        </w:rPr>
        <w:t>;76:114–9.</w:t>
      </w:r>
    </w:p>
    <w:p w:rsidR="00574E76" w:rsidRPr="00574E76" w:rsidRDefault="00574E76" w:rsidP="000861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74E76">
        <w:rPr>
          <w:rFonts w:ascii="Times New Roman" w:hAnsi="Times New Roman" w:cs="Times New Roman"/>
          <w:noProof/>
          <w:sz w:val="24"/>
          <w:szCs w:val="24"/>
        </w:rPr>
        <w:t xml:space="preserve">3. </w:t>
      </w:r>
      <w:r w:rsidRPr="00574E76">
        <w:rPr>
          <w:rFonts w:ascii="Times New Roman" w:hAnsi="Times New Roman" w:cs="Times New Roman"/>
          <w:noProof/>
          <w:sz w:val="24"/>
          <w:szCs w:val="24"/>
        </w:rPr>
        <w:tab/>
        <w:t>Santiago LM, Luz LL, Mattos IE, Gobbens RJJ, van Assen MALM. Psychometric properties of the Brazilian version of the Tilburg frailty indicat</w:t>
      </w:r>
      <w:r w:rsidR="000861E1">
        <w:rPr>
          <w:rFonts w:ascii="Times New Roman" w:hAnsi="Times New Roman" w:cs="Times New Roman"/>
          <w:noProof/>
          <w:sz w:val="24"/>
          <w:szCs w:val="24"/>
        </w:rPr>
        <w:t>or (TFI). Arch Gerontol Geriatr</w:t>
      </w:r>
      <w:r w:rsidRPr="00574E76">
        <w:rPr>
          <w:rFonts w:ascii="Times New Roman" w:hAnsi="Times New Roman" w:cs="Times New Roman"/>
          <w:noProof/>
          <w:sz w:val="24"/>
          <w:szCs w:val="24"/>
        </w:rPr>
        <w:t>. 2013;57(1):39–45.</w:t>
      </w:r>
    </w:p>
    <w:p w:rsidR="00574E76" w:rsidRPr="00574E76" w:rsidRDefault="00574E76" w:rsidP="000861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74E76">
        <w:rPr>
          <w:rFonts w:ascii="Times New Roman" w:hAnsi="Times New Roman" w:cs="Times New Roman"/>
          <w:noProof/>
          <w:sz w:val="24"/>
          <w:szCs w:val="24"/>
        </w:rPr>
        <w:t xml:space="preserve">4. </w:t>
      </w:r>
      <w:r w:rsidRPr="00574E76">
        <w:rPr>
          <w:rFonts w:ascii="Times New Roman" w:hAnsi="Times New Roman" w:cs="Times New Roman"/>
          <w:noProof/>
          <w:sz w:val="24"/>
          <w:szCs w:val="24"/>
        </w:rPr>
        <w:tab/>
        <w:t>Morley JE, Malmstrom TK, Miller DK. A simple frailty questionnaire (FRAIL) predicts outcomes in middle aged African Americans. J Nutr Health Aging</w:t>
      </w:r>
      <w:r w:rsidR="000861E1">
        <w:rPr>
          <w:rFonts w:ascii="Times New Roman" w:hAnsi="Times New Roman" w:cs="Times New Roman"/>
          <w:noProof/>
          <w:sz w:val="24"/>
          <w:szCs w:val="24"/>
        </w:rPr>
        <w:t>.</w:t>
      </w:r>
      <w:r w:rsidRPr="00574E76">
        <w:rPr>
          <w:rFonts w:ascii="Times New Roman" w:hAnsi="Times New Roman" w:cs="Times New Roman"/>
          <w:noProof/>
          <w:sz w:val="24"/>
          <w:szCs w:val="24"/>
        </w:rPr>
        <w:t xml:space="preserve">  2012;16(7):601–8.</w:t>
      </w:r>
    </w:p>
    <w:p w:rsidR="00574E76" w:rsidRPr="00574E76" w:rsidRDefault="00574E76" w:rsidP="000861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74E76">
        <w:rPr>
          <w:rFonts w:ascii="Times New Roman" w:hAnsi="Times New Roman" w:cs="Times New Roman"/>
          <w:noProof/>
          <w:sz w:val="24"/>
          <w:szCs w:val="24"/>
        </w:rPr>
        <w:t xml:space="preserve">5. </w:t>
      </w:r>
      <w:r w:rsidRPr="00574E76">
        <w:rPr>
          <w:rFonts w:ascii="Times New Roman" w:hAnsi="Times New Roman" w:cs="Times New Roman"/>
          <w:noProof/>
          <w:sz w:val="24"/>
          <w:szCs w:val="24"/>
        </w:rPr>
        <w:tab/>
        <w:t xml:space="preserve">Sewo Sampaio PY, Sampaio RAC, Yamada M, Arai H. Systematic review of the Kihon Checklist: Is it a reliable assessment of frailty? </w:t>
      </w:r>
      <w:r w:rsidRPr="00574E76">
        <w:rPr>
          <w:rFonts w:ascii="Times New Roman" w:hAnsi="Times New Roman" w:cs="Times New Roman"/>
          <w:noProof/>
          <w:sz w:val="24"/>
          <w:szCs w:val="24"/>
        </w:rPr>
        <w:lastRenderedPageBreak/>
        <w:t>Geriatr Gerontol Int</w:t>
      </w:r>
      <w:r w:rsidR="000861E1">
        <w:rPr>
          <w:rFonts w:ascii="Times New Roman" w:hAnsi="Times New Roman" w:cs="Times New Roman"/>
          <w:noProof/>
          <w:sz w:val="24"/>
          <w:szCs w:val="24"/>
        </w:rPr>
        <w:t>.</w:t>
      </w:r>
      <w:r w:rsidRPr="00574E76">
        <w:rPr>
          <w:rFonts w:ascii="Times New Roman" w:hAnsi="Times New Roman" w:cs="Times New Roman"/>
          <w:noProof/>
          <w:sz w:val="24"/>
          <w:szCs w:val="24"/>
        </w:rPr>
        <w:t xml:space="preserve"> 2016;16(8):893–902.</w:t>
      </w:r>
    </w:p>
    <w:p w:rsidR="00574E76" w:rsidRPr="00574E76" w:rsidRDefault="00574E76" w:rsidP="000861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74E76">
        <w:rPr>
          <w:rFonts w:ascii="Times New Roman" w:hAnsi="Times New Roman" w:cs="Times New Roman"/>
          <w:noProof/>
          <w:sz w:val="24"/>
          <w:szCs w:val="24"/>
        </w:rPr>
        <w:t xml:space="preserve">6. </w:t>
      </w:r>
      <w:r w:rsidRPr="00574E76">
        <w:rPr>
          <w:rFonts w:ascii="Times New Roman" w:hAnsi="Times New Roman" w:cs="Times New Roman"/>
          <w:noProof/>
          <w:sz w:val="24"/>
          <w:szCs w:val="24"/>
        </w:rPr>
        <w:tab/>
        <w:t>Ensrud KE, Ewing SK, Taylor BC, Fink HA, Cawthon PM, Stone KL, et al. Comparison of 2 Frailty Indexes for Prediction of Falls, Disability, Fractures, and Death in Older Women. Arch Intern Med. 2008;168(4):382</w:t>
      </w:r>
      <w:r w:rsidR="000861E1" w:rsidRPr="00574E76">
        <w:rPr>
          <w:rFonts w:ascii="Times New Roman" w:hAnsi="Times New Roman" w:cs="Times New Roman"/>
          <w:noProof/>
          <w:sz w:val="24"/>
          <w:szCs w:val="24"/>
        </w:rPr>
        <w:t>–</w:t>
      </w:r>
      <w:r w:rsidR="000861E1">
        <w:rPr>
          <w:rFonts w:ascii="Times New Roman" w:hAnsi="Times New Roman" w:cs="Times New Roman"/>
          <w:noProof/>
          <w:sz w:val="24"/>
          <w:szCs w:val="24"/>
        </w:rPr>
        <w:t>9</w:t>
      </w:r>
      <w:r w:rsidRPr="00574E76">
        <w:rPr>
          <w:rFonts w:ascii="Times New Roman" w:hAnsi="Times New Roman" w:cs="Times New Roman"/>
          <w:noProof/>
          <w:sz w:val="24"/>
          <w:szCs w:val="24"/>
        </w:rPr>
        <w:t>.</w:t>
      </w:r>
    </w:p>
    <w:p w:rsidR="00574E76" w:rsidRPr="00574E76" w:rsidRDefault="00574E76" w:rsidP="000861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74E76">
        <w:rPr>
          <w:rFonts w:ascii="Times New Roman" w:hAnsi="Times New Roman" w:cs="Times New Roman"/>
          <w:noProof/>
          <w:sz w:val="24"/>
          <w:szCs w:val="24"/>
        </w:rPr>
        <w:t xml:space="preserve">7. </w:t>
      </w:r>
      <w:r w:rsidRPr="00574E76">
        <w:rPr>
          <w:rFonts w:ascii="Times New Roman" w:hAnsi="Times New Roman" w:cs="Times New Roman"/>
          <w:noProof/>
          <w:sz w:val="24"/>
          <w:szCs w:val="24"/>
        </w:rPr>
        <w:tab/>
        <w:t>Rolfson DB, Majumdar SR, Tsuyuki RT, Tahir A, Rockwood K. Validity and reliability of the Edmonton Frail Scale. Age Ageing</w:t>
      </w:r>
      <w:r w:rsidR="000861E1">
        <w:rPr>
          <w:rFonts w:ascii="Times New Roman" w:hAnsi="Times New Roman" w:cs="Times New Roman"/>
          <w:noProof/>
          <w:sz w:val="24"/>
          <w:szCs w:val="24"/>
        </w:rPr>
        <w:t>.</w:t>
      </w:r>
      <w:r w:rsidRPr="00574E76">
        <w:rPr>
          <w:rFonts w:ascii="Times New Roman" w:hAnsi="Times New Roman" w:cs="Times New Roman"/>
          <w:noProof/>
          <w:sz w:val="24"/>
          <w:szCs w:val="24"/>
        </w:rPr>
        <w:t xml:space="preserve"> </w:t>
      </w:r>
      <w:r w:rsidR="000861E1">
        <w:rPr>
          <w:rFonts w:ascii="Times New Roman" w:hAnsi="Times New Roman" w:cs="Times New Roman"/>
          <w:noProof/>
          <w:sz w:val="24"/>
          <w:szCs w:val="24"/>
        </w:rPr>
        <w:t>2006</w:t>
      </w:r>
      <w:r w:rsidRPr="00574E76">
        <w:rPr>
          <w:rFonts w:ascii="Times New Roman" w:hAnsi="Times New Roman" w:cs="Times New Roman"/>
          <w:noProof/>
          <w:sz w:val="24"/>
          <w:szCs w:val="24"/>
        </w:rPr>
        <w:t>;35(5):526–9.</w:t>
      </w:r>
    </w:p>
    <w:p w:rsidR="00574E76" w:rsidRPr="00574E76" w:rsidRDefault="00574E76" w:rsidP="000861E1">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74E76">
        <w:rPr>
          <w:rFonts w:ascii="Times New Roman" w:hAnsi="Times New Roman" w:cs="Times New Roman"/>
          <w:noProof/>
          <w:sz w:val="24"/>
          <w:szCs w:val="24"/>
        </w:rPr>
        <w:t xml:space="preserve">8. </w:t>
      </w:r>
      <w:r w:rsidRPr="00574E76">
        <w:rPr>
          <w:rFonts w:ascii="Times New Roman" w:hAnsi="Times New Roman" w:cs="Times New Roman"/>
          <w:noProof/>
          <w:sz w:val="24"/>
          <w:szCs w:val="24"/>
        </w:rPr>
        <w:tab/>
        <w:t xml:space="preserve">Fabrício-Wehbe SCC, Schiaveto FV, Vendrusculo TRP, Haas VJ, Dantas RAS, Rodrigues RAP. Cross-cultural adaptation and validity of the </w:t>
      </w:r>
      <w:r w:rsidR="000861E1">
        <w:rPr>
          <w:rFonts w:ascii="Times New Roman" w:hAnsi="Times New Roman" w:cs="Times New Roman"/>
          <w:noProof/>
          <w:sz w:val="24"/>
          <w:szCs w:val="24"/>
        </w:rPr>
        <w:t>"</w:t>
      </w:r>
      <w:r w:rsidRPr="00574E76">
        <w:rPr>
          <w:rFonts w:ascii="Times New Roman" w:hAnsi="Times New Roman" w:cs="Times New Roman"/>
          <w:noProof/>
          <w:sz w:val="24"/>
          <w:szCs w:val="24"/>
        </w:rPr>
        <w:t>Edmonton Frail Scale - EFS</w:t>
      </w:r>
      <w:r w:rsidR="000861E1">
        <w:rPr>
          <w:rFonts w:ascii="Times New Roman" w:hAnsi="Times New Roman" w:cs="Times New Roman"/>
          <w:noProof/>
          <w:sz w:val="24"/>
          <w:szCs w:val="24"/>
        </w:rPr>
        <w:t>"</w:t>
      </w:r>
      <w:r w:rsidRPr="00574E76">
        <w:rPr>
          <w:rFonts w:ascii="Times New Roman" w:hAnsi="Times New Roman" w:cs="Times New Roman"/>
          <w:noProof/>
          <w:sz w:val="24"/>
          <w:szCs w:val="24"/>
        </w:rPr>
        <w:t xml:space="preserve"> in a Brazilian elderly sample. Rev Lat Am Enfermagem</w:t>
      </w:r>
      <w:r w:rsidR="000861E1">
        <w:rPr>
          <w:rFonts w:ascii="Times New Roman" w:hAnsi="Times New Roman" w:cs="Times New Roman"/>
          <w:noProof/>
          <w:sz w:val="24"/>
          <w:szCs w:val="24"/>
        </w:rPr>
        <w:t>.</w:t>
      </w:r>
      <w:r w:rsidRPr="00574E76">
        <w:rPr>
          <w:rFonts w:ascii="Times New Roman" w:hAnsi="Times New Roman" w:cs="Times New Roman"/>
          <w:noProof/>
          <w:sz w:val="24"/>
          <w:szCs w:val="24"/>
        </w:rPr>
        <w:t xml:space="preserve"> 2009;17(6):1043–9.</w:t>
      </w:r>
    </w:p>
    <w:p w:rsidR="00574E76" w:rsidRPr="00574E76" w:rsidRDefault="00574E76" w:rsidP="000861E1">
      <w:pPr>
        <w:widowControl w:val="0"/>
        <w:autoSpaceDE w:val="0"/>
        <w:autoSpaceDN w:val="0"/>
        <w:adjustRightInd w:val="0"/>
        <w:spacing w:after="0" w:line="240" w:lineRule="auto"/>
        <w:ind w:left="640" w:hanging="640"/>
        <w:rPr>
          <w:rFonts w:ascii="Times New Roman" w:hAnsi="Times New Roman" w:cs="Times New Roman"/>
          <w:noProof/>
          <w:sz w:val="24"/>
        </w:rPr>
      </w:pPr>
      <w:r w:rsidRPr="00574E76">
        <w:rPr>
          <w:rFonts w:ascii="Times New Roman" w:hAnsi="Times New Roman" w:cs="Times New Roman"/>
          <w:noProof/>
          <w:sz w:val="24"/>
          <w:szCs w:val="24"/>
        </w:rPr>
        <w:t xml:space="preserve">9. </w:t>
      </w:r>
      <w:r w:rsidRPr="00574E76">
        <w:rPr>
          <w:rFonts w:ascii="Times New Roman" w:hAnsi="Times New Roman" w:cs="Times New Roman"/>
          <w:noProof/>
          <w:sz w:val="24"/>
          <w:szCs w:val="24"/>
        </w:rPr>
        <w:tab/>
        <w:t>Rockwood K, Song X, MacKnight C, Bergman H, Hogan DB, McDowell I, et al. A global clinical measure of fitness and frailty in elderly people. CMAJ. 2005;173(5):489–95.</w:t>
      </w:r>
    </w:p>
    <w:p w:rsidR="00C97CE2" w:rsidRPr="00C97CE2" w:rsidRDefault="00CF47BC" w:rsidP="000861E1">
      <w:pPr>
        <w:widowControl w:val="0"/>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fldChar w:fldCharType="end"/>
      </w:r>
      <w:bookmarkEnd w:id="0"/>
    </w:p>
    <w:p w:rsidR="00C97CE2" w:rsidRPr="00C97CE2" w:rsidRDefault="00C97CE2" w:rsidP="000861E1">
      <w:pPr>
        <w:widowControl w:val="0"/>
        <w:spacing w:after="0"/>
        <w:rPr>
          <w:rFonts w:ascii="Times New Roman" w:hAnsi="Times New Roman" w:cs="Times New Roman"/>
          <w:sz w:val="24"/>
          <w:szCs w:val="24"/>
          <w:lang w:val="en-US"/>
        </w:rPr>
      </w:pPr>
    </w:p>
    <w:sectPr w:rsidR="00C97CE2" w:rsidRPr="00C97CE2" w:rsidSect="00C97CE2">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characterSpacingControl w:val="doNotCompress"/>
  <w:compat/>
  <w:rsids>
    <w:rsidRoot w:val="00C97CE2"/>
    <w:rsid w:val="000861E1"/>
    <w:rsid w:val="000C6D4E"/>
    <w:rsid w:val="00574E76"/>
    <w:rsid w:val="005C4562"/>
    <w:rsid w:val="006954FE"/>
    <w:rsid w:val="0086569B"/>
    <w:rsid w:val="00AF10AE"/>
    <w:rsid w:val="00C86955"/>
    <w:rsid w:val="00C97CE2"/>
    <w:rsid w:val="00CF47BC"/>
    <w:rsid w:val="00DB53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53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7C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7C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039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3706-4CB3-4F72-B6E1-3D18FEA4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1072</Words>
  <Characters>6113</Characters>
  <Application>Microsoft Office Word</Application>
  <DocSecurity>4</DocSecurity>
  <Lines>50</Lines>
  <Paragraphs>14</Paragraphs>
  <ScaleCrop>false</ScaleCrop>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Coelho-Júnior</dc:creator>
  <cp:lastModifiedBy>emanuelemarzetti</cp:lastModifiedBy>
  <cp:revision>2</cp:revision>
  <dcterms:created xsi:type="dcterms:W3CDTF">2020-04-15T14:42:00Z</dcterms:created>
  <dcterms:modified xsi:type="dcterms:W3CDTF">2020-04-15T14:42:00Z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http://www.zotero.org/styles/frontiers-in-physiology</vt:lpwstr>
  </property>
  <property fmtid="{D5CDD505-2E9C-101B-9397-08002B2CF9AE}" pid="3" name="Mendeley Recent Style Name 0_1">
    <vt:lpwstr>Frontiers in Physiology</vt:lpwstr>
  </property>
  <property fmtid="{D5CDD505-2E9C-101B-9397-08002B2CF9AE}" pid="4" name="Mendeley Recent Style Id 1_1">
    <vt:lpwstr>http://www.zotero.org/styles/journal-of-evolutionary-biology</vt:lpwstr>
  </property>
  <property fmtid="{D5CDD505-2E9C-101B-9397-08002B2CF9AE}" pid="5" name="Mendeley Recent Style Name 1_1">
    <vt:lpwstr>Journal of Evolutionary Biology</vt:lpwstr>
  </property>
  <property fmtid="{D5CDD505-2E9C-101B-9397-08002B2CF9AE}" pid="6" name="Mendeley Recent Style Id 2_1">
    <vt:lpwstr>http://www.zotero.org/styles/nutrients</vt:lpwstr>
  </property>
  <property fmtid="{D5CDD505-2E9C-101B-9397-08002B2CF9AE}" pid="7" name="Mendeley Recent Style Name 2_1">
    <vt:lpwstr>Nutrients</vt:lpwstr>
  </property>
  <property fmtid="{D5CDD505-2E9C-101B-9397-08002B2CF9AE}" pid="8" name="Mendeley Recent Style Id 3_1">
    <vt:lpwstr>http://www.zotero.org/styles/the-lancet</vt:lpwstr>
  </property>
  <property fmtid="{D5CDD505-2E9C-101B-9397-08002B2CF9AE}" pid="9" name="Mendeley Recent Style Name 3_1">
    <vt:lpwstr>The Lancet</vt:lpwstr>
  </property>
  <property fmtid="{D5CDD505-2E9C-101B-9397-08002B2CF9AE}" pid="10" name="Mendeley Recent Style Id 4_1">
    <vt:lpwstr>http://csl.mendeley.com/styles/252734431/thieme-german</vt:lpwstr>
  </property>
  <property fmtid="{D5CDD505-2E9C-101B-9397-08002B2CF9AE}" pid="11" name="Mendeley Recent Style Name 4_1">
    <vt:lpwstr>Thieme-German (German) - Hélio Coelho-Júnior</vt:lpwstr>
  </property>
  <property fmtid="{D5CDD505-2E9C-101B-9397-08002B2CF9AE}" pid="12" name="Mendeley Recent Style Id 5_1">
    <vt:lpwstr>http://www.zotero.org/styles/vancouver</vt:lpwstr>
  </property>
  <property fmtid="{D5CDD505-2E9C-101B-9397-08002B2CF9AE}" pid="13" name="Mendeley Recent Style Name 5_1">
    <vt:lpwstr>Vancouver</vt:lpwstr>
  </property>
  <property fmtid="{D5CDD505-2E9C-101B-9397-08002B2CF9AE}" pid="14" name="Mendeley Recent Style Id 6_1">
    <vt:lpwstr>https://csl.mendeley.com/styles/252734431/vancouver</vt:lpwstr>
  </property>
  <property fmtid="{D5CDD505-2E9C-101B-9397-08002B2CF9AE}" pid="15" name="Mendeley Recent Style Name 6_1">
    <vt:lpwstr>Vancouver - Hélio Coelho-Júnior</vt:lpwstr>
  </property>
  <property fmtid="{D5CDD505-2E9C-101B-9397-08002B2CF9AE}" pid="16" name="Mendeley Recent Style Id 7_1">
    <vt:lpwstr>http://csl.mendeley.com/styles/252734431/WHO</vt:lpwstr>
  </property>
  <property fmtid="{D5CDD505-2E9C-101B-9397-08002B2CF9AE}" pid="17" name="Mendeley Recent Style Name 7_1">
    <vt:lpwstr>Vancouver - Hélio Coelho-Júnior</vt:lpwstr>
  </property>
  <property fmtid="{D5CDD505-2E9C-101B-9397-08002B2CF9AE}" pid="18" name="Mendeley Recent Style Id 8_1">
    <vt:lpwstr>http://csl.mendeley.com/styles/252734431/VANCOUVERWHO</vt:lpwstr>
  </property>
  <property fmtid="{D5CDD505-2E9C-101B-9397-08002B2CF9AE}" pid="19" name="Mendeley Recent Style Name 8_1">
    <vt:lpwstr>Vancouver - Hélio Coelho-Júnior</vt:lpwstr>
  </property>
  <property fmtid="{D5CDD505-2E9C-101B-9397-08002B2CF9AE}" pid="20" name="Mendeley Recent Style Id 9_1">
    <vt:lpwstr>http://csl.mendeley.com/styles/252734431/vancouver</vt:lpwstr>
  </property>
  <property fmtid="{D5CDD505-2E9C-101B-9397-08002B2CF9AE}" pid="21" name="Mendeley Recent Style Name 9_1">
    <vt:lpwstr>Vancouver - Hélio Coelho-Júnior</vt:lpwstr>
  </property>
  <property fmtid="{D5CDD505-2E9C-101B-9397-08002B2CF9AE}" pid="22" name="Mendeley Document_1">
    <vt:lpwstr>True</vt:lpwstr>
  </property>
  <property fmtid="{D5CDD505-2E9C-101B-9397-08002B2CF9AE}" pid="23" name="Mendeley Unique User Id_1">
    <vt:lpwstr>4aab10da-ad3c-3a9f-880c-80e58d75ea30</vt:lpwstr>
  </property>
  <property fmtid="{D5CDD505-2E9C-101B-9397-08002B2CF9AE}" pid="24" name="Mendeley Citation Style_1">
    <vt:lpwstr>http://csl.mendeley.com/styles/252734431/VANCOUVERWHO</vt:lpwstr>
  </property>
</Properties>
</file>